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67.080.10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0"/>
                    <w:framePr w:wrap="notBeside" w:vAnchor="page" w:hAnchor="page" w:x="1372" w:y="568"/>
                    <w:ind w:left="420" w:right="624"/>
                    <w:rPr>
                      <w:rFonts w:ascii="宋体" w:hAnsi="宋体"/>
                      <w:sz w:val="28"/>
                      <w:szCs w:val="28"/>
                    </w:rPr>
                  </w:pPr>
                  <w:r>
                    <w:rPr>
                      <w:rFonts w:hint="eastAsia"/>
                      <w:szCs w:val="144"/>
                    </w:rPr>
                    <w:t>T</w:t>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31</w:t>
            </w:r>
            <w:r>
              <w:rPr>
                <w:rFonts w:ascii="黑体" w:hAnsi="黑体" w:eastAsia="黑体"/>
                <w:sz w:val="21"/>
                <w:szCs w:val="21"/>
              </w:rPr>
              <w:fldChar w:fldCharType="end"/>
            </w:r>
            <w:bookmarkEnd w:id="2"/>
          </w:p>
        </w:tc>
      </w:tr>
    </w:tbl>
    <w:p>
      <w:pPr>
        <w:pStyle w:val="51"/>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6"/>
        <w:framePr w:wrap="around"/>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pPr>
        <w:pStyle w:val="197"/>
        <w:framePr w:wrap="around"/>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v:path arrowok="t"/>
            <v:fill focussize="0,0"/>
            <v:stroke/>
            <v:imagedata o:title=""/>
            <o:lock v:ext="edit"/>
          </v:line>
        </w:pic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地理标志农产品  八步三华李</w:t>
      </w:r>
      <w:r>
        <w:fldChar w:fldCharType="end"/>
      </w:r>
      <w:bookmarkEnd w:id="8"/>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Agro-product geoprapchical indication—Babu sanhua plium</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4"/>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v:path arrowok="t"/>
            <v:fill focussize="0,0"/>
            <v:stroke/>
            <v:imagedata o:title=""/>
            <o:lock v:ext="edit"/>
            <w10:anchorlock/>
          </v:line>
        </w:pict>
      </w:r>
    </w:p>
    <w:p>
      <w:pPr>
        <w:pStyle w:val="90"/>
        <w:spacing w:after="360"/>
      </w:pPr>
      <w:bookmarkStart w:id="20" w:name="BookMark2"/>
      <w:r>
        <w:rPr>
          <w:spacing w:val="320"/>
        </w:rPr>
        <w:t>前</w:t>
      </w:r>
      <w:r>
        <w:t>言</w:t>
      </w:r>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本文件由贺州市八步区市场监管局、贺州市八步区农业农村局联合提出。</w:t>
      </w:r>
    </w:p>
    <w:p>
      <w:pPr>
        <w:pStyle w:val="57"/>
        <w:ind w:firstLine="420"/>
      </w:pPr>
      <w:r>
        <w:rPr>
          <w:rFonts w:hint="eastAsia"/>
        </w:rPr>
        <w:t>本文件起草单位：贺州市八步区市场监管局、贺州市八步区农业农村局。</w:t>
      </w:r>
    </w:p>
    <w:p>
      <w:pPr>
        <w:pStyle w:val="57"/>
        <w:ind w:firstLine="420"/>
      </w:pPr>
      <w:r>
        <w:rPr>
          <w:rFonts w:hint="eastAsia"/>
        </w:rPr>
        <w:t>本文件主要起草人：。</w:t>
      </w:r>
    </w:p>
    <w:p>
      <w:pPr>
        <w:pStyle w:val="57"/>
        <w:ind w:firstLine="420"/>
      </w:pPr>
    </w:p>
    <w:p>
      <w:pPr>
        <w:pStyle w:val="57"/>
        <w:ind w:firstLine="420"/>
        <w:sectPr>
          <w:headerReference r:id="rId11" w:type="default"/>
          <w:footerReference r:id="rId13" w:type="default"/>
          <w:headerReference r:id="rId12" w:type="even"/>
          <w:pgSz w:w="11906" w:h="16838"/>
          <w:pgMar w:top="567" w:right="1134" w:bottom="1134" w:left="1134" w:header="1418" w:footer="1134" w:gutter="284"/>
          <w:pgNumType w:fmt="upperRoman" w:start="1"/>
          <w:cols w:space="425" w:num="1"/>
          <w:formProt w:val="0"/>
          <w:docGrid w:linePitch="312" w:charSpace="0"/>
        </w:sectPr>
      </w:pP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356EB21A36684F7BAD460FCB77182CA1"/>
        </w:placeholder>
      </w:sdtPr>
      <w:sdtContent>
        <w:p>
          <w:pPr>
            <w:pStyle w:val="178"/>
            <w:spacing w:beforeLines="182" w:afterLines="220"/>
          </w:pPr>
          <w:bookmarkStart w:id="22" w:name="NEW_STAND_NAME"/>
          <w:r>
            <w:rPr>
              <w:rFonts w:hint="eastAsia"/>
            </w:rPr>
            <w:t>地理标志农产品</w:t>
          </w:r>
          <w:r>
            <w:t xml:space="preserve">  八步三华李</w:t>
          </w:r>
        </w:p>
      </w:sdtContent>
    </w:sdt>
    <w:bookmarkEnd w:id="22"/>
    <w:p>
      <w:pPr>
        <w:pStyle w:val="105"/>
        <w:spacing w:before="240" w:after="240"/>
      </w:pPr>
      <w:bookmarkStart w:id="23" w:name="_Toc26648465"/>
      <w:bookmarkStart w:id="24" w:name="_Toc26986530"/>
      <w:bookmarkStart w:id="25" w:name="_Toc24884211"/>
      <w:bookmarkStart w:id="26" w:name="_Toc17233333"/>
      <w:bookmarkStart w:id="27" w:name="_Toc17233325"/>
      <w:bookmarkStart w:id="28" w:name="_Toc26986771"/>
      <w:bookmarkStart w:id="29" w:name="_Toc24884218"/>
      <w:bookmarkStart w:id="30" w:name="_Toc26718930"/>
      <w:r>
        <w:rPr>
          <w:rFonts w:hint="eastAsia"/>
        </w:rPr>
        <w:t>范围</w:t>
      </w:r>
      <w:bookmarkEnd w:id="23"/>
      <w:bookmarkEnd w:id="24"/>
      <w:bookmarkEnd w:id="25"/>
      <w:bookmarkEnd w:id="26"/>
      <w:bookmarkEnd w:id="27"/>
      <w:bookmarkEnd w:id="28"/>
      <w:bookmarkEnd w:id="29"/>
      <w:bookmarkEnd w:id="30"/>
    </w:p>
    <w:p>
      <w:pPr>
        <w:pStyle w:val="57"/>
        <w:ind w:firstLine="420"/>
      </w:pPr>
      <w:bookmarkStart w:id="31" w:name="_Toc24884212"/>
      <w:bookmarkStart w:id="32" w:name="_Toc17233326"/>
      <w:bookmarkStart w:id="33" w:name="_Toc17233334"/>
      <w:bookmarkStart w:id="34" w:name="_Toc26648466"/>
      <w:bookmarkStart w:id="35" w:name="_Toc24884219"/>
      <w:r>
        <w:rPr>
          <w:rFonts w:hint="eastAsia"/>
        </w:rPr>
        <w:t>本文件规定了地理标志农产品八步三华李的保护范围、质量、质量容许度等要求，描述了相应的检验方法、检验规则、标志、标签、包装、运输和贮存等。</w:t>
      </w:r>
    </w:p>
    <w:p>
      <w:pPr>
        <w:pStyle w:val="57"/>
        <w:ind w:firstLine="420"/>
      </w:pPr>
      <w:r>
        <w:rPr>
          <w:rFonts w:hint="eastAsia"/>
        </w:rPr>
        <w:t>本文件适用于地理标志农产品八步三华李。</w:t>
      </w:r>
    </w:p>
    <w:p>
      <w:pPr>
        <w:pStyle w:val="105"/>
        <w:spacing w:before="240" w:after="240"/>
      </w:pPr>
      <w:bookmarkStart w:id="36" w:name="_Toc26718931"/>
      <w:bookmarkStart w:id="37" w:name="_Toc26986772"/>
      <w:bookmarkStart w:id="38" w:name="_Toc269865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9DC4FD221DDB4B64A925D2891B9C1E8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t>GB/T 191</w:t>
      </w:r>
      <w:r>
        <w:rPr>
          <w:rFonts w:hint="eastAsia"/>
        </w:rPr>
        <w:t xml:space="preserve">  包装储运图示标志</w:t>
      </w:r>
    </w:p>
    <w:p>
      <w:pPr>
        <w:pStyle w:val="57"/>
        <w:ind w:firstLine="420"/>
      </w:pPr>
      <w:r>
        <w:rPr>
          <w:rFonts w:hint="eastAsia"/>
        </w:rPr>
        <w:t>GB 2762  食品安全国家标准  食品中污染物限量</w:t>
      </w:r>
    </w:p>
    <w:p>
      <w:pPr>
        <w:pStyle w:val="57"/>
        <w:ind w:firstLine="420"/>
      </w:pPr>
      <w:r>
        <w:rPr>
          <w:rFonts w:hint="eastAsia"/>
        </w:rPr>
        <w:t>GB 2763  食品安全国家标准  食品中农药最大残留限量</w:t>
      </w:r>
    </w:p>
    <w:p>
      <w:pPr>
        <w:pStyle w:val="57"/>
        <w:ind w:firstLine="420"/>
      </w:pPr>
      <w:r>
        <w:rPr>
          <w:szCs w:val="21"/>
        </w:rPr>
        <w:t xml:space="preserve">GB 5009.8 </w:t>
      </w:r>
      <w:r>
        <w:rPr>
          <w:rFonts w:hint="eastAsia"/>
          <w:szCs w:val="21"/>
        </w:rPr>
        <w:t xml:space="preserve"> </w:t>
      </w:r>
      <w:r>
        <w:rPr>
          <w:szCs w:val="21"/>
        </w:rPr>
        <w:t xml:space="preserve">食品安全国家标准 </w:t>
      </w:r>
      <w:r>
        <w:rPr>
          <w:rFonts w:hint="eastAsia"/>
          <w:szCs w:val="21"/>
        </w:rPr>
        <w:t xml:space="preserve"> </w:t>
      </w:r>
      <w:r>
        <w:rPr>
          <w:szCs w:val="21"/>
        </w:rPr>
        <w:t>食品中果糖、葡萄糖、蔗糖、麦芽糖、乳糖的测定</w:t>
      </w:r>
    </w:p>
    <w:p>
      <w:pPr>
        <w:pStyle w:val="57"/>
        <w:ind w:firstLine="420"/>
      </w:pPr>
      <w:r>
        <w:rPr>
          <w:rFonts w:hint="eastAsia"/>
        </w:rPr>
        <w:t>GB 5009.86  食品安全国家标准  食品中抗坏血酸的测定</w:t>
      </w:r>
    </w:p>
    <w:p>
      <w:pPr>
        <w:pStyle w:val="57"/>
        <w:ind w:firstLine="420"/>
      </w:pPr>
      <w:r>
        <w:rPr>
          <w:rFonts w:hint="eastAsia"/>
        </w:rPr>
        <w:t>GB 5009.93  食品安全国家标准  食品中硒的测定</w:t>
      </w:r>
    </w:p>
    <w:p>
      <w:pPr>
        <w:pStyle w:val="57"/>
        <w:ind w:firstLine="420"/>
      </w:pPr>
      <w:r>
        <w:rPr>
          <w:rFonts w:hint="eastAsia"/>
        </w:rPr>
        <w:t>GB/T 6543  运输包装用单瓦楞纸箱和双瓦楞纸箱</w:t>
      </w:r>
    </w:p>
    <w:p>
      <w:pPr>
        <w:pStyle w:val="57"/>
        <w:ind w:firstLine="420"/>
      </w:pPr>
      <w:r>
        <w:t>GB 7718</w:t>
      </w:r>
      <w:r>
        <w:rPr>
          <w:rFonts w:hint="eastAsia"/>
        </w:rPr>
        <w:t xml:space="preserve">  食品安全国家标准  预包装食品标签通则</w:t>
      </w:r>
    </w:p>
    <w:p>
      <w:pPr>
        <w:pStyle w:val="57"/>
        <w:ind w:firstLine="420"/>
      </w:pPr>
      <w:r>
        <w:t>GB 12456</w:t>
      </w:r>
      <w:r>
        <w:rPr>
          <w:rFonts w:hint="eastAsia"/>
        </w:rPr>
        <w:t xml:space="preserve">  食品安全国家标准  食品中总酸的测定</w:t>
      </w:r>
    </w:p>
    <w:p>
      <w:pPr>
        <w:pStyle w:val="57"/>
        <w:ind w:firstLine="420"/>
      </w:pPr>
      <w:r>
        <w:rPr>
          <w:rFonts w:hint="eastAsia"/>
        </w:rPr>
        <w:t>NY/T 2637  水果和蔬菜可溶性固形物含量的测定  折射仪法</w:t>
      </w:r>
    </w:p>
    <w:p>
      <w:pPr>
        <w:pStyle w:val="57"/>
        <w:ind w:firstLine="420"/>
      </w:pPr>
      <w:r>
        <w:t>NY/T 5344.4</w:t>
      </w:r>
      <w:r>
        <w:rPr>
          <w:rFonts w:hint="eastAsia"/>
        </w:rPr>
        <w:t xml:space="preserve">  无公害食品  产品抽样规范  第4部分：水果</w:t>
      </w:r>
    </w:p>
    <w:p>
      <w:pPr>
        <w:pStyle w:val="57"/>
        <w:ind w:firstLine="420"/>
      </w:pPr>
      <w:r>
        <w:rPr>
          <w:rFonts w:hint="eastAsia"/>
        </w:rPr>
        <w:t>DB45/T 1807  绿色食品  八步三华李生产技术规程</w:t>
      </w:r>
    </w:p>
    <w:p>
      <w:pPr>
        <w:pStyle w:val="57"/>
        <w:ind w:firstLine="420"/>
      </w:pPr>
    </w:p>
    <w:p>
      <w:pPr>
        <w:pStyle w:val="105"/>
        <w:spacing w:before="240" w:after="240"/>
      </w:pPr>
      <w:r>
        <w:rPr>
          <w:rFonts w:hint="eastAsia"/>
          <w:szCs w:val="21"/>
        </w:rPr>
        <w:t>术语和定义</w:t>
      </w:r>
    </w:p>
    <w:sdt>
      <w:sdtPr>
        <w:id w:val="-1909835108"/>
        <w:placeholder>
          <w:docPart w:val="C3C80662120C491A9B915E876EDB9FB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39" w:name="_Toc26986532"/>
          <w:bookmarkEnd w:id="39"/>
          <w:r>
            <w:t>下列术语和定义适用于本文件。</w:t>
          </w:r>
        </w:p>
      </w:sdtContent>
    </w:sdt>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八步三华李  </w:t>
      </w:r>
      <w:r>
        <w:rPr>
          <w:rFonts w:ascii="黑体" w:hAnsi="黑体" w:eastAsia="黑体"/>
        </w:rPr>
        <w:t>Babu Sanhua plum</w:t>
      </w:r>
    </w:p>
    <w:p>
      <w:pPr>
        <w:pStyle w:val="57"/>
        <w:ind w:firstLine="420"/>
      </w:pPr>
      <w:r>
        <w:rPr>
          <w:rFonts w:hint="eastAsia"/>
        </w:rPr>
        <w:t>在第4章规定的范围内种植，质量符合本文件要求的三华李。</w:t>
      </w:r>
    </w:p>
    <w:p>
      <w:pPr>
        <w:pStyle w:val="105"/>
        <w:spacing w:before="240" w:after="240"/>
      </w:pPr>
      <w:r>
        <w:rPr>
          <w:rFonts w:hint="eastAsia"/>
        </w:rPr>
        <w:t>保护范围</w:t>
      </w:r>
    </w:p>
    <w:p>
      <w:pPr>
        <w:pStyle w:val="57"/>
        <w:ind w:firstLine="420"/>
      </w:pPr>
      <w:r>
        <w:rPr>
          <w:rFonts w:hint="eastAsia"/>
        </w:rPr>
        <w:t>广西壮族自治区贺州市八步区现辖行政区域内，见附录A。</w:t>
      </w:r>
    </w:p>
    <w:p>
      <w:pPr>
        <w:pStyle w:val="105"/>
        <w:spacing w:before="240" w:after="240"/>
      </w:pPr>
      <w:r>
        <w:rPr>
          <w:rFonts w:hint="eastAsia"/>
        </w:rPr>
        <w:t>要求</w:t>
      </w:r>
    </w:p>
    <w:p>
      <w:pPr>
        <w:pStyle w:val="106"/>
        <w:spacing w:before="120" w:after="120"/>
      </w:pPr>
      <w:r>
        <w:rPr>
          <w:rFonts w:hint="eastAsia"/>
        </w:rPr>
        <w:t>种植</w:t>
      </w:r>
    </w:p>
    <w:p>
      <w:pPr>
        <w:pStyle w:val="57"/>
        <w:ind w:firstLine="420"/>
      </w:pPr>
      <w:r>
        <w:rPr>
          <w:rFonts w:hint="eastAsia"/>
        </w:rPr>
        <w:t>应符合DB45/T 1807的规定。</w:t>
      </w:r>
    </w:p>
    <w:p>
      <w:pPr>
        <w:pStyle w:val="106"/>
        <w:spacing w:before="120" w:after="120"/>
      </w:pPr>
      <w:r>
        <w:rPr>
          <w:rFonts w:hint="eastAsia"/>
        </w:rPr>
        <w:t>产品分类</w:t>
      </w:r>
    </w:p>
    <w:p>
      <w:pPr>
        <w:pStyle w:val="57"/>
        <w:ind w:firstLine="420"/>
        <w:rPr>
          <w:rFonts w:hint="eastAsia"/>
        </w:rPr>
      </w:pPr>
      <w:r>
        <w:rPr>
          <w:rFonts w:hint="eastAsia"/>
        </w:rPr>
        <w:t>按果实横径大小规格分为特大果、大果、中果、小果，见表1。</w:t>
      </w:r>
    </w:p>
    <w:p>
      <w:pPr>
        <w:pStyle w:val="57"/>
        <w:ind w:firstLine="420"/>
      </w:pPr>
    </w:p>
    <w:p>
      <w:pPr>
        <w:pStyle w:val="57"/>
        <w:ind w:firstLine="420"/>
      </w:pPr>
    </w:p>
    <w:p>
      <w:pPr>
        <w:pStyle w:val="113"/>
        <w:spacing w:before="120" w:after="120"/>
      </w:pPr>
      <w:r>
        <w:rPr>
          <w:rFonts w:hint="eastAsia"/>
        </w:rPr>
        <w:t>大小规格</w:t>
      </w:r>
    </w:p>
    <w:tbl>
      <w:tblPr>
        <w:tblStyle w:val="27"/>
        <w:tblW w:w="9570" w:type="dxa"/>
        <w:jc w:val="center"/>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
      <w:tblGrid>
        <w:gridCol w:w="2944"/>
        <w:gridCol w:w="6626"/>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179" w:hRule="atLeast"/>
          <w:jc w:val="center"/>
        </w:trPr>
        <w:tc>
          <w:tcPr>
            <w:tcW w:w="2944" w:type="dxa"/>
            <w:tcBorders>
              <w:top w:val="single" w:color="auto" w:sz="8" w:space="0"/>
              <w:left w:val="single" w:color="auto" w:sz="8" w:space="0"/>
              <w:bottom w:val="single" w:color="auto" w:sz="8" w:space="0"/>
              <w:right w:val="single" w:color="000000" w:sz="4" w:space="0"/>
            </w:tcBorders>
            <w:shd w:val="clear" w:color="000000" w:fill="FFFFFF"/>
            <w:vAlign w:val="center"/>
          </w:tcPr>
          <w:p>
            <w:pPr>
              <w:jc w:val="center"/>
              <w:rPr>
                <w:rFonts w:ascii="宋体" w:hAnsi="宋体"/>
                <w:sz w:val="18"/>
                <w:szCs w:val="18"/>
              </w:rPr>
            </w:pPr>
            <w:r>
              <w:rPr>
                <w:rFonts w:hint="eastAsia" w:ascii="宋体" w:hAnsi="宋体"/>
                <w:sz w:val="18"/>
                <w:szCs w:val="18"/>
              </w:rPr>
              <w:t>规格</w:t>
            </w:r>
          </w:p>
        </w:tc>
        <w:tc>
          <w:tcPr>
            <w:tcW w:w="6626" w:type="dxa"/>
            <w:tcBorders>
              <w:top w:val="single" w:color="auto" w:sz="8" w:space="0"/>
              <w:left w:val="single" w:color="000000" w:sz="4" w:space="0"/>
              <w:bottom w:val="single" w:color="auto" w:sz="8" w:space="0"/>
              <w:right w:val="single" w:color="auto" w:sz="8" w:space="0"/>
            </w:tcBorders>
            <w:shd w:val="clear" w:color="000000" w:fill="FFFFFF"/>
          </w:tcPr>
          <w:p>
            <w:pPr>
              <w:jc w:val="center"/>
              <w:rPr>
                <w:rFonts w:ascii="宋体" w:hAnsi="宋体"/>
                <w:sz w:val="18"/>
                <w:szCs w:val="18"/>
              </w:rPr>
            </w:pPr>
            <w:r>
              <w:rPr>
                <w:rFonts w:hint="eastAsia" w:ascii="宋体" w:hAnsi="宋体"/>
                <w:sz w:val="18"/>
                <w:szCs w:val="18"/>
              </w:rPr>
              <w:t>果实横径</w:t>
            </w:r>
          </w:p>
          <w:p>
            <w:pPr>
              <w:jc w:val="center"/>
              <w:rPr>
                <w:rFonts w:ascii="宋体" w:hAnsi="宋体"/>
                <w:sz w:val="18"/>
                <w:szCs w:val="18"/>
                <w:highlight w:val="yellow"/>
              </w:rPr>
            </w:pPr>
            <w:r>
              <w:rPr>
                <w:rFonts w:hint="eastAsia" w:ascii="宋体" w:hAnsi="宋体"/>
                <w:sz w:val="18"/>
                <w:szCs w:val="18"/>
              </w:rPr>
              <w:t>cm</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1" w:hRule="atLeast"/>
          <w:jc w:val="center"/>
        </w:trPr>
        <w:tc>
          <w:tcPr>
            <w:tcW w:w="2944" w:type="dxa"/>
            <w:shd w:val="clear" w:color="000000" w:fill="FFFFFF"/>
          </w:tcPr>
          <w:p>
            <w:pPr>
              <w:jc w:val="center"/>
              <w:rPr>
                <w:rFonts w:ascii="宋体" w:hAnsi="宋体"/>
                <w:sz w:val="18"/>
                <w:szCs w:val="18"/>
              </w:rPr>
            </w:pPr>
            <w:r>
              <w:rPr>
                <w:rFonts w:hint="eastAsia" w:ascii="宋体" w:hAnsi="宋体"/>
                <w:sz w:val="18"/>
                <w:szCs w:val="18"/>
              </w:rPr>
              <w:t xml:space="preserve">特大果                             </w:t>
            </w:r>
          </w:p>
        </w:tc>
        <w:tc>
          <w:tcPr>
            <w:tcW w:w="6626" w:type="dxa"/>
            <w:tcBorders>
              <w:top w:val="single" w:color="auto" w:sz="8" w:space="0"/>
            </w:tcBorders>
            <w:shd w:val="clear" w:color="000000" w:fill="FFFFFF"/>
            <w:vAlign w:val="center"/>
          </w:tcPr>
          <w:p>
            <w:pPr>
              <w:autoSpaceDE w:val="0"/>
              <w:autoSpaceDN w:val="0"/>
              <w:jc w:val="center"/>
              <w:rPr>
                <w:rFonts w:ascii="宋体" w:hAnsi="宋体" w:cs="宋体"/>
                <w:kern w:val="0"/>
                <w:sz w:val="18"/>
                <w:szCs w:val="18"/>
              </w:rPr>
            </w:pPr>
            <w:r>
              <w:rPr>
                <w:rFonts w:hint="eastAsia" w:ascii="宋体" w:hAnsi="宋体" w:cs="宋体"/>
                <w:kern w:val="0"/>
                <w:sz w:val="18"/>
                <w:szCs w:val="18"/>
              </w:rPr>
              <w:t>≥5.0</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1" w:hRule="atLeast"/>
          <w:jc w:val="center"/>
        </w:trPr>
        <w:tc>
          <w:tcPr>
            <w:tcW w:w="2944" w:type="dxa"/>
            <w:shd w:val="clear" w:color="000000" w:fill="FFFFFF"/>
          </w:tcPr>
          <w:p>
            <w:pPr>
              <w:jc w:val="center"/>
              <w:rPr>
                <w:rFonts w:ascii="宋体" w:hAnsi="宋体"/>
                <w:sz w:val="18"/>
                <w:szCs w:val="18"/>
              </w:rPr>
            </w:pPr>
            <w:r>
              <w:rPr>
                <w:rFonts w:hint="eastAsia" w:ascii="宋体" w:hAnsi="宋体"/>
                <w:sz w:val="18"/>
                <w:szCs w:val="18"/>
              </w:rPr>
              <w:t xml:space="preserve">大果                           </w:t>
            </w:r>
          </w:p>
        </w:tc>
        <w:tc>
          <w:tcPr>
            <w:tcW w:w="6626" w:type="dxa"/>
            <w:shd w:val="clear" w:color="000000" w:fill="FFFFFF"/>
            <w:vAlign w:val="center"/>
          </w:tcPr>
          <w:p>
            <w:pPr>
              <w:autoSpaceDE w:val="0"/>
              <w:autoSpaceDN w:val="0"/>
              <w:jc w:val="center"/>
              <w:rPr>
                <w:rFonts w:ascii="宋体" w:hAnsi="宋体" w:cs="宋体"/>
                <w:kern w:val="0"/>
                <w:sz w:val="18"/>
                <w:szCs w:val="18"/>
              </w:rPr>
            </w:pPr>
            <w:r>
              <w:rPr>
                <w:rFonts w:hint="eastAsia" w:ascii="宋体" w:hAnsi="宋体" w:cs="宋体"/>
                <w:kern w:val="0"/>
                <w:sz w:val="18"/>
                <w:szCs w:val="18"/>
              </w:rPr>
              <w:t>4.0～4.9</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1" w:hRule="atLeast"/>
          <w:jc w:val="center"/>
        </w:trPr>
        <w:tc>
          <w:tcPr>
            <w:tcW w:w="2944" w:type="dxa"/>
            <w:shd w:val="clear" w:color="000000" w:fill="FFFFFF"/>
          </w:tcPr>
          <w:p>
            <w:pPr>
              <w:jc w:val="center"/>
              <w:rPr>
                <w:rFonts w:ascii="宋体" w:hAnsi="宋体"/>
                <w:sz w:val="18"/>
                <w:szCs w:val="18"/>
              </w:rPr>
            </w:pPr>
            <w:r>
              <w:rPr>
                <w:rFonts w:hint="eastAsia" w:ascii="宋体" w:hAnsi="宋体"/>
                <w:sz w:val="18"/>
                <w:szCs w:val="18"/>
              </w:rPr>
              <w:t xml:space="preserve">中果                    </w:t>
            </w:r>
          </w:p>
        </w:tc>
        <w:tc>
          <w:tcPr>
            <w:tcW w:w="6626" w:type="dxa"/>
            <w:shd w:val="clear" w:color="000000" w:fill="FFFFFF"/>
            <w:vAlign w:val="center"/>
          </w:tcPr>
          <w:p>
            <w:pPr>
              <w:autoSpaceDE w:val="0"/>
              <w:autoSpaceDN w:val="0"/>
              <w:jc w:val="center"/>
              <w:rPr>
                <w:rFonts w:ascii="宋体" w:hAnsi="宋体" w:cs="宋体"/>
                <w:kern w:val="0"/>
                <w:sz w:val="18"/>
                <w:szCs w:val="18"/>
              </w:rPr>
            </w:pPr>
            <w:r>
              <w:rPr>
                <w:rFonts w:hint="eastAsia" w:ascii="宋体" w:hAnsi="宋体" w:cs="宋体"/>
                <w:kern w:val="0"/>
                <w:sz w:val="18"/>
                <w:szCs w:val="18"/>
              </w:rPr>
              <w:t>3.0～3.9</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1" w:hRule="atLeast"/>
          <w:jc w:val="center"/>
        </w:trPr>
        <w:tc>
          <w:tcPr>
            <w:tcW w:w="2944" w:type="dxa"/>
            <w:shd w:val="clear" w:color="000000" w:fill="FFFFFF"/>
          </w:tcPr>
          <w:p>
            <w:pPr>
              <w:jc w:val="center"/>
              <w:rPr>
                <w:rFonts w:ascii="宋体" w:hAnsi="宋体"/>
                <w:sz w:val="18"/>
                <w:szCs w:val="18"/>
              </w:rPr>
            </w:pPr>
            <w:r>
              <w:rPr>
                <w:rFonts w:hint="eastAsia" w:ascii="宋体" w:hAnsi="宋体"/>
                <w:sz w:val="18"/>
                <w:szCs w:val="18"/>
              </w:rPr>
              <w:t>小果</w:t>
            </w:r>
          </w:p>
        </w:tc>
        <w:tc>
          <w:tcPr>
            <w:tcW w:w="6626" w:type="dxa"/>
            <w:shd w:val="clear" w:color="000000" w:fill="FFFFFF"/>
            <w:vAlign w:val="center"/>
          </w:tcPr>
          <w:p>
            <w:pPr>
              <w:autoSpaceDE w:val="0"/>
              <w:autoSpaceDN w:val="0"/>
              <w:jc w:val="center"/>
              <w:rPr>
                <w:rFonts w:ascii="宋体" w:hAnsi="宋体" w:cs="宋体"/>
                <w:kern w:val="0"/>
                <w:sz w:val="18"/>
                <w:szCs w:val="18"/>
              </w:rPr>
            </w:pPr>
            <w:r>
              <w:rPr>
                <w:rFonts w:hint="eastAsia" w:ascii="宋体" w:hAnsi="宋体" w:cs="宋体"/>
                <w:kern w:val="0"/>
                <w:sz w:val="18"/>
                <w:szCs w:val="18"/>
              </w:rPr>
              <w:t>＜3.0</w:t>
            </w:r>
          </w:p>
        </w:tc>
      </w:tr>
    </w:tbl>
    <w:p>
      <w:pPr>
        <w:pStyle w:val="57"/>
        <w:ind w:firstLine="420"/>
      </w:pPr>
    </w:p>
    <w:p>
      <w:pPr>
        <w:pStyle w:val="106"/>
        <w:spacing w:before="120" w:after="120"/>
      </w:pPr>
      <w:r>
        <w:rPr>
          <w:rFonts w:hint="eastAsia"/>
        </w:rPr>
        <w:t>质量</w:t>
      </w:r>
    </w:p>
    <w:p>
      <w:pPr>
        <w:pStyle w:val="66"/>
        <w:spacing w:before="120" w:after="120"/>
      </w:pPr>
      <w:r>
        <w:rPr>
          <w:rFonts w:hint="eastAsia"/>
        </w:rPr>
        <w:t>感官要求</w:t>
      </w:r>
    </w:p>
    <w:p>
      <w:pPr>
        <w:pStyle w:val="233"/>
      </w:pPr>
      <w:r>
        <w:rPr>
          <w:rFonts w:hint="eastAsia"/>
        </w:rPr>
        <w:t>感官要求应符合表2的规定。</w:t>
      </w:r>
    </w:p>
    <w:p>
      <w:pPr>
        <w:pStyle w:val="235"/>
        <w:numPr>
          <w:ilvl w:val="0"/>
          <w:numId w:val="16"/>
        </w:numPr>
        <w:spacing w:before="120" w:after="120"/>
      </w:pPr>
      <w:r>
        <w:rPr>
          <w:rFonts w:hint="eastAsia"/>
        </w:rPr>
        <w:t>感官要求</w:t>
      </w:r>
    </w:p>
    <w:tbl>
      <w:tblPr>
        <w:tblStyle w:val="27"/>
        <w:tblW w:w="937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465"/>
        <w:gridCol w:w="1466"/>
        <w:gridCol w:w="1614"/>
        <w:gridCol w:w="2679"/>
        <w:gridCol w:w="118"/>
        <w:gridCol w:w="203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6" w:hRule="atLeast"/>
          <w:jc w:val="center"/>
        </w:trPr>
        <w:tc>
          <w:tcPr>
            <w:tcW w:w="2931" w:type="dxa"/>
            <w:gridSpan w:val="2"/>
            <w:vMerge w:val="restart"/>
            <w:tcBorders>
              <w:top w:val="single" w:color="auto" w:sz="8" w:space="0"/>
              <w:left w:val="single" w:color="000000" w:sz="8" w:space="0"/>
              <w:right w:val="single" w:color="000000" w:sz="4" w:space="0"/>
            </w:tcBorders>
            <w:vAlign w:val="center"/>
          </w:tcPr>
          <w:p>
            <w:pPr>
              <w:pStyle w:val="233"/>
              <w:ind w:firstLine="0" w:firstLineChars="0"/>
              <w:jc w:val="center"/>
              <w:rPr>
                <w:sz w:val="18"/>
                <w:szCs w:val="18"/>
              </w:rPr>
            </w:pPr>
            <w:r>
              <w:rPr>
                <w:rFonts w:hint="eastAsia"/>
                <w:sz w:val="18"/>
                <w:szCs w:val="18"/>
              </w:rPr>
              <w:t>项目</w:t>
            </w:r>
          </w:p>
        </w:tc>
        <w:tc>
          <w:tcPr>
            <w:tcW w:w="6441" w:type="dxa"/>
            <w:gridSpan w:val="4"/>
            <w:tcBorders>
              <w:top w:val="single" w:color="auto" w:sz="8" w:space="0"/>
              <w:left w:val="nil"/>
              <w:bottom w:val="single" w:color="auto" w:sz="4" w:space="0"/>
              <w:right w:val="single" w:color="auto" w:sz="8" w:space="0"/>
            </w:tcBorders>
            <w:vAlign w:val="center"/>
          </w:tcPr>
          <w:p>
            <w:pPr>
              <w:pStyle w:val="233"/>
              <w:ind w:firstLine="0" w:firstLineChars="0"/>
              <w:jc w:val="center"/>
              <w:rPr>
                <w:sz w:val="18"/>
                <w:szCs w:val="18"/>
              </w:rPr>
            </w:pPr>
            <w:r>
              <w:rPr>
                <w:rFonts w:hint="eastAsia"/>
                <w:sz w:val="18"/>
                <w:szCs w:val="18"/>
              </w:rPr>
              <w:t>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6" w:hRule="atLeast"/>
          <w:jc w:val="center"/>
        </w:trPr>
        <w:tc>
          <w:tcPr>
            <w:tcW w:w="2931" w:type="dxa"/>
            <w:gridSpan w:val="2"/>
            <w:vMerge w:val="continue"/>
            <w:tcBorders>
              <w:left w:val="single" w:color="000000" w:sz="8" w:space="0"/>
              <w:bottom w:val="single" w:color="000000" w:sz="8" w:space="0"/>
              <w:right w:val="single" w:color="000000" w:sz="4" w:space="0"/>
            </w:tcBorders>
            <w:vAlign w:val="center"/>
          </w:tcPr>
          <w:p>
            <w:pPr>
              <w:pStyle w:val="233"/>
              <w:ind w:firstLine="0" w:firstLineChars="0"/>
              <w:jc w:val="center"/>
              <w:rPr>
                <w:sz w:val="18"/>
                <w:szCs w:val="18"/>
              </w:rPr>
            </w:pPr>
          </w:p>
        </w:tc>
        <w:tc>
          <w:tcPr>
            <w:tcW w:w="1614" w:type="dxa"/>
            <w:tcBorders>
              <w:top w:val="single" w:color="auto" w:sz="4" w:space="0"/>
              <w:left w:val="nil"/>
              <w:bottom w:val="single" w:color="000000" w:sz="8" w:space="0"/>
              <w:right w:val="single" w:color="auto" w:sz="4" w:space="0"/>
            </w:tcBorders>
            <w:vAlign w:val="center"/>
          </w:tcPr>
          <w:p>
            <w:pPr>
              <w:pStyle w:val="233"/>
              <w:ind w:firstLine="0" w:firstLineChars="0"/>
              <w:jc w:val="center"/>
              <w:rPr>
                <w:sz w:val="18"/>
                <w:szCs w:val="18"/>
              </w:rPr>
            </w:pPr>
            <w:r>
              <w:rPr>
                <w:rFonts w:hint="eastAsia"/>
                <w:sz w:val="18"/>
                <w:szCs w:val="18"/>
              </w:rPr>
              <w:t>特级</w:t>
            </w:r>
          </w:p>
        </w:tc>
        <w:tc>
          <w:tcPr>
            <w:tcW w:w="2797" w:type="dxa"/>
            <w:gridSpan w:val="2"/>
            <w:tcBorders>
              <w:top w:val="single" w:color="auto" w:sz="4" w:space="0"/>
              <w:left w:val="single" w:color="auto" w:sz="4" w:space="0"/>
              <w:bottom w:val="single" w:color="000000" w:sz="8" w:space="0"/>
              <w:right w:val="single" w:color="auto" w:sz="4" w:space="0"/>
            </w:tcBorders>
            <w:vAlign w:val="center"/>
          </w:tcPr>
          <w:p>
            <w:pPr>
              <w:pStyle w:val="233"/>
              <w:ind w:firstLine="0" w:firstLineChars="0"/>
              <w:jc w:val="center"/>
              <w:rPr>
                <w:sz w:val="18"/>
                <w:szCs w:val="18"/>
              </w:rPr>
            </w:pPr>
            <w:r>
              <w:rPr>
                <w:rFonts w:hint="eastAsia"/>
                <w:sz w:val="18"/>
                <w:szCs w:val="18"/>
              </w:rPr>
              <w:t>一级</w:t>
            </w:r>
          </w:p>
        </w:tc>
        <w:tc>
          <w:tcPr>
            <w:tcW w:w="2030" w:type="dxa"/>
            <w:tcBorders>
              <w:top w:val="single" w:color="auto" w:sz="4" w:space="0"/>
              <w:left w:val="single" w:color="auto" w:sz="4" w:space="0"/>
              <w:bottom w:val="single" w:color="000000" w:sz="8" w:space="0"/>
              <w:right w:val="single" w:color="auto" w:sz="8" w:space="0"/>
            </w:tcBorders>
            <w:vAlign w:val="center"/>
          </w:tcPr>
          <w:p>
            <w:pPr>
              <w:pStyle w:val="233"/>
              <w:ind w:firstLine="0" w:firstLineChars="0"/>
              <w:jc w:val="center"/>
              <w:rPr>
                <w:sz w:val="18"/>
                <w:szCs w:val="18"/>
              </w:rPr>
            </w:pPr>
            <w:r>
              <w:rPr>
                <w:rFonts w:hint="eastAsia"/>
                <w:sz w:val="18"/>
                <w:szCs w:val="18"/>
              </w:rPr>
              <w:t>二级</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8" w:hRule="atLeast"/>
          <w:jc w:val="center"/>
        </w:trPr>
        <w:tc>
          <w:tcPr>
            <w:tcW w:w="2931" w:type="dxa"/>
            <w:gridSpan w:val="2"/>
            <w:tcBorders>
              <w:top w:val="single" w:color="000000" w:sz="8" w:space="0"/>
              <w:left w:val="single" w:color="000000" w:sz="8" w:space="0"/>
              <w:bottom w:val="single" w:color="000000" w:sz="4" w:space="0"/>
              <w:right w:val="single" w:color="000000" w:sz="4" w:space="0"/>
            </w:tcBorders>
            <w:vAlign w:val="center"/>
          </w:tcPr>
          <w:p>
            <w:pPr>
              <w:pStyle w:val="233"/>
              <w:ind w:firstLine="0" w:firstLineChars="0"/>
              <w:jc w:val="center"/>
              <w:rPr>
                <w:sz w:val="18"/>
                <w:szCs w:val="18"/>
              </w:rPr>
            </w:pPr>
            <w:r>
              <w:rPr>
                <w:rFonts w:hint="eastAsia"/>
                <w:sz w:val="18"/>
                <w:szCs w:val="18"/>
              </w:rPr>
              <w:t>果形</w:t>
            </w:r>
          </w:p>
        </w:tc>
        <w:tc>
          <w:tcPr>
            <w:tcW w:w="1614" w:type="dxa"/>
            <w:tcBorders>
              <w:top w:val="single" w:color="000000" w:sz="8" w:space="0"/>
              <w:left w:val="nil"/>
              <w:bottom w:val="single" w:color="000000" w:sz="4" w:space="0"/>
              <w:right w:val="single" w:color="auto" w:sz="4" w:space="0"/>
            </w:tcBorders>
            <w:vAlign w:val="center"/>
          </w:tcPr>
          <w:p>
            <w:pPr>
              <w:pStyle w:val="233"/>
              <w:ind w:firstLine="0" w:firstLineChars="0"/>
              <w:jc w:val="center"/>
              <w:rPr>
                <w:sz w:val="18"/>
                <w:szCs w:val="18"/>
              </w:rPr>
            </w:pPr>
            <w:r>
              <w:rPr>
                <w:rFonts w:hint="eastAsia"/>
                <w:sz w:val="18"/>
                <w:szCs w:val="18"/>
              </w:rPr>
              <w:t>圆形或近圆形，果形端正</w:t>
            </w:r>
          </w:p>
        </w:tc>
        <w:tc>
          <w:tcPr>
            <w:tcW w:w="2797" w:type="dxa"/>
            <w:gridSpan w:val="2"/>
            <w:tcBorders>
              <w:top w:val="single" w:color="000000" w:sz="8" w:space="0"/>
              <w:left w:val="single" w:color="auto" w:sz="4" w:space="0"/>
              <w:bottom w:val="single" w:color="000000" w:sz="4" w:space="0"/>
              <w:right w:val="single" w:color="auto" w:sz="4" w:space="0"/>
            </w:tcBorders>
            <w:vAlign w:val="center"/>
          </w:tcPr>
          <w:p>
            <w:pPr>
              <w:pStyle w:val="233"/>
              <w:ind w:firstLine="0" w:firstLineChars="0"/>
              <w:jc w:val="center"/>
              <w:rPr>
                <w:sz w:val="18"/>
                <w:szCs w:val="18"/>
              </w:rPr>
            </w:pPr>
            <w:r>
              <w:rPr>
                <w:rFonts w:hint="eastAsia"/>
                <w:sz w:val="18"/>
                <w:szCs w:val="18"/>
              </w:rPr>
              <w:t>圆形或近圆形，果形正常，允许轻微缺陷</w:t>
            </w:r>
          </w:p>
        </w:tc>
        <w:tc>
          <w:tcPr>
            <w:tcW w:w="2030" w:type="dxa"/>
            <w:tcBorders>
              <w:top w:val="single" w:color="000000" w:sz="8" w:space="0"/>
              <w:left w:val="single" w:color="auto" w:sz="4" w:space="0"/>
              <w:bottom w:val="single" w:color="000000" w:sz="4" w:space="0"/>
              <w:right w:val="single" w:color="000000" w:sz="8" w:space="0"/>
            </w:tcBorders>
            <w:vAlign w:val="center"/>
          </w:tcPr>
          <w:p>
            <w:pPr>
              <w:pStyle w:val="233"/>
              <w:ind w:firstLine="0" w:firstLineChars="0"/>
              <w:jc w:val="center"/>
              <w:rPr>
                <w:sz w:val="18"/>
                <w:szCs w:val="18"/>
              </w:rPr>
            </w:pPr>
            <w:r>
              <w:rPr>
                <w:rFonts w:hint="eastAsia"/>
                <w:sz w:val="18"/>
                <w:szCs w:val="18"/>
              </w:rPr>
              <w:t>圆形或近圆形，允许有缺陷，不应有偏缺过大的畸形果</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1" w:hRule="atLeast"/>
          <w:jc w:val="center"/>
        </w:trPr>
        <w:tc>
          <w:tcPr>
            <w:tcW w:w="2931" w:type="dxa"/>
            <w:gridSpan w:val="2"/>
            <w:tcBorders>
              <w:top w:val="single" w:color="000000" w:sz="4" w:space="0"/>
              <w:left w:val="single" w:color="000000" w:sz="8" w:space="0"/>
              <w:bottom w:val="single" w:color="000000" w:sz="4" w:space="0"/>
              <w:right w:val="single" w:color="000000" w:sz="4" w:space="0"/>
            </w:tcBorders>
            <w:vAlign w:val="center"/>
          </w:tcPr>
          <w:p>
            <w:pPr>
              <w:pStyle w:val="233"/>
              <w:ind w:firstLine="0" w:firstLineChars="0"/>
              <w:jc w:val="center"/>
              <w:rPr>
                <w:sz w:val="18"/>
                <w:szCs w:val="18"/>
              </w:rPr>
            </w:pPr>
            <w:r>
              <w:rPr>
                <w:rFonts w:hint="eastAsia"/>
                <w:sz w:val="18"/>
                <w:szCs w:val="18"/>
              </w:rPr>
              <w:t>色泽</w:t>
            </w:r>
          </w:p>
        </w:tc>
        <w:tc>
          <w:tcPr>
            <w:tcW w:w="6441" w:type="dxa"/>
            <w:gridSpan w:val="4"/>
            <w:tcBorders>
              <w:top w:val="single" w:color="000000" w:sz="4" w:space="0"/>
              <w:left w:val="nil"/>
              <w:bottom w:val="single" w:color="000000" w:sz="4" w:space="0"/>
              <w:right w:val="single" w:color="000000" w:sz="8" w:space="0"/>
            </w:tcBorders>
            <w:vAlign w:val="center"/>
          </w:tcPr>
          <w:p>
            <w:pPr>
              <w:pStyle w:val="233"/>
              <w:ind w:firstLine="0" w:firstLineChars="0"/>
              <w:jc w:val="center"/>
              <w:rPr>
                <w:sz w:val="18"/>
                <w:szCs w:val="18"/>
              </w:rPr>
            </w:pPr>
            <w:r>
              <w:rPr>
                <w:rFonts w:hint="eastAsia"/>
                <w:sz w:val="18"/>
                <w:szCs w:val="18"/>
              </w:rPr>
              <w:t>果皮淡紫色，果肉紫红色</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1" w:hRule="atLeast"/>
          <w:jc w:val="center"/>
        </w:trPr>
        <w:tc>
          <w:tcPr>
            <w:tcW w:w="2931" w:type="dxa"/>
            <w:gridSpan w:val="2"/>
            <w:tcBorders>
              <w:top w:val="single" w:color="000000" w:sz="4" w:space="0"/>
              <w:left w:val="single" w:color="000000" w:sz="8" w:space="0"/>
              <w:bottom w:val="single" w:color="000000" w:sz="4" w:space="0"/>
              <w:right w:val="single" w:color="000000" w:sz="4" w:space="0"/>
            </w:tcBorders>
            <w:vAlign w:val="center"/>
          </w:tcPr>
          <w:p>
            <w:pPr>
              <w:pStyle w:val="233"/>
              <w:ind w:firstLine="0" w:firstLineChars="0"/>
              <w:jc w:val="center"/>
              <w:rPr>
                <w:sz w:val="18"/>
                <w:szCs w:val="18"/>
              </w:rPr>
            </w:pPr>
            <w:r>
              <w:rPr>
                <w:rFonts w:hint="eastAsia"/>
                <w:sz w:val="18"/>
                <w:szCs w:val="18"/>
              </w:rPr>
              <w:t>果面</w:t>
            </w:r>
          </w:p>
        </w:tc>
        <w:tc>
          <w:tcPr>
            <w:tcW w:w="6441" w:type="dxa"/>
            <w:gridSpan w:val="4"/>
            <w:tcBorders>
              <w:top w:val="single" w:color="000000" w:sz="4" w:space="0"/>
              <w:left w:val="nil"/>
              <w:bottom w:val="single" w:color="000000" w:sz="4" w:space="0"/>
              <w:right w:val="single" w:color="000000" w:sz="8" w:space="0"/>
            </w:tcBorders>
            <w:vAlign w:val="center"/>
          </w:tcPr>
          <w:p>
            <w:pPr>
              <w:pStyle w:val="233"/>
              <w:ind w:firstLine="0" w:firstLineChars="0"/>
              <w:jc w:val="center"/>
              <w:rPr>
                <w:sz w:val="18"/>
                <w:szCs w:val="18"/>
              </w:rPr>
            </w:pPr>
            <w:r>
              <w:rPr>
                <w:rFonts w:hint="eastAsia"/>
                <w:sz w:val="18"/>
                <w:szCs w:val="18"/>
              </w:rPr>
              <w:t>果粉多且分布均匀，果点小、多且分布均匀、缝合线明显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1" w:hRule="atLeast"/>
          <w:jc w:val="center"/>
        </w:trPr>
        <w:tc>
          <w:tcPr>
            <w:tcW w:w="2931" w:type="dxa"/>
            <w:gridSpan w:val="2"/>
            <w:tcBorders>
              <w:top w:val="single" w:color="000000" w:sz="4" w:space="0"/>
              <w:left w:val="single" w:color="000000" w:sz="8" w:space="0"/>
              <w:bottom w:val="single" w:color="000000" w:sz="4" w:space="0"/>
              <w:right w:val="single" w:color="000000" w:sz="4" w:space="0"/>
            </w:tcBorders>
            <w:vAlign w:val="center"/>
          </w:tcPr>
          <w:p>
            <w:pPr>
              <w:pStyle w:val="233"/>
              <w:ind w:firstLine="0" w:firstLineChars="0"/>
              <w:jc w:val="center"/>
              <w:rPr>
                <w:sz w:val="18"/>
                <w:szCs w:val="18"/>
              </w:rPr>
            </w:pPr>
            <w:r>
              <w:rPr>
                <w:rFonts w:hint="eastAsia"/>
                <w:sz w:val="18"/>
                <w:szCs w:val="18"/>
              </w:rPr>
              <w:t>果核</w:t>
            </w:r>
          </w:p>
        </w:tc>
        <w:tc>
          <w:tcPr>
            <w:tcW w:w="6441" w:type="dxa"/>
            <w:gridSpan w:val="4"/>
            <w:tcBorders>
              <w:top w:val="single" w:color="000000" w:sz="4" w:space="0"/>
              <w:left w:val="nil"/>
              <w:bottom w:val="single" w:color="000000" w:sz="4" w:space="0"/>
              <w:right w:val="single" w:color="000000" w:sz="8" w:space="0"/>
            </w:tcBorders>
            <w:vAlign w:val="center"/>
          </w:tcPr>
          <w:p>
            <w:pPr>
              <w:pStyle w:val="233"/>
              <w:ind w:firstLine="0" w:firstLineChars="0"/>
              <w:jc w:val="center"/>
              <w:rPr>
                <w:sz w:val="18"/>
                <w:szCs w:val="18"/>
              </w:rPr>
            </w:pPr>
            <w:r>
              <w:rPr>
                <w:rFonts w:hint="eastAsia"/>
                <w:sz w:val="18"/>
                <w:szCs w:val="18"/>
              </w:rPr>
              <w:t>核小，半离核</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1" w:hRule="atLeast"/>
          <w:jc w:val="center"/>
        </w:trPr>
        <w:tc>
          <w:tcPr>
            <w:tcW w:w="2931" w:type="dxa"/>
            <w:gridSpan w:val="2"/>
            <w:tcBorders>
              <w:top w:val="single" w:color="000000" w:sz="4" w:space="0"/>
              <w:left w:val="single" w:color="000000" w:sz="8" w:space="0"/>
              <w:bottom w:val="single" w:color="000000" w:sz="4" w:space="0"/>
              <w:right w:val="single" w:color="000000" w:sz="4" w:space="0"/>
            </w:tcBorders>
            <w:vAlign w:val="center"/>
          </w:tcPr>
          <w:p>
            <w:pPr>
              <w:pStyle w:val="233"/>
              <w:ind w:firstLine="0" w:firstLineChars="0"/>
              <w:jc w:val="center"/>
              <w:rPr>
                <w:sz w:val="18"/>
                <w:szCs w:val="18"/>
              </w:rPr>
            </w:pPr>
            <w:r>
              <w:rPr>
                <w:rFonts w:hint="eastAsia"/>
                <w:sz w:val="18"/>
                <w:szCs w:val="18"/>
              </w:rPr>
              <w:t>口感</w:t>
            </w:r>
          </w:p>
        </w:tc>
        <w:tc>
          <w:tcPr>
            <w:tcW w:w="6441" w:type="dxa"/>
            <w:gridSpan w:val="4"/>
            <w:tcBorders>
              <w:top w:val="single" w:color="000000" w:sz="4" w:space="0"/>
              <w:left w:val="nil"/>
              <w:bottom w:val="single" w:color="000000" w:sz="4" w:space="0"/>
              <w:right w:val="single" w:color="000000" w:sz="8" w:space="0"/>
            </w:tcBorders>
            <w:vAlign w:val="center"/>
          </w:tcPr>
          <w:p>
            <w:pPr>
              <w:pStyle w:val="233"/>
              <w:ind w:firstLine="0" w:firstLineChars="0"/>
              <w:jc w:val="center"/>
              <w:rPr>
                <w:sz w:val="18"/>
                <w:szCs w:val="18"/>
              </w:rPr>
            </w:pPr>
            <w:r>
              <w:rPr>
                <w:rFonts w:hint="eastAsia"/>
                <w:sz w:val="18"/>
                <w:szCs w:val="18"/>
              </w:rPr>
              <w:t>爽脆多汁，酸甜可口</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1" w:hRule="atLeast"/>
          <w:jc w:val="center"/>
        </w:trPr>
        <w:tc>
          <w:tcPr>
            <w:tcW w:w="1465" w:type="dxa"/>
            <w:vMerge w:val="restart"/>
            <w:tcBorders>
              <w:top w:val="single" w:color="000000" w:sz="4" w:space="0"/>
              <w:left w:val="single" w:color="000000" w:sz="8" w:space="0"/>
              <w:bottom w:val="single" w:color="auto" w:sz="4" w:space="0"/>
              <w:right w:val="single" w:color="auto" w:sz="4" w:space="0"/>
            </w:tcBorders>
            <w:vAlign w:val="center"/>
          </w:tcPr>
          <w:p>
            <w:pPr>
              <w:pStyle w:val="233"/>
              <w:ind w:firstLine="0" w:firstLineChars="0"/>
              <w:jc w:val="center"/>
              <w:rPr>
                <w:sz w:val="18"/>
                <w:szCs w:val="18"/>
              </w:rPr>
            </w:pPr>
            <w:r>
              <w:rPr>
                <w:rFonts w:hint="eastAsia"/>
                <w:sz w:val="18"/>
                <w:szCs w:val="18"/>
              </w:rPr>
              <w:t>果面缺陷</w:t>
            </w:r>
            <w:r>
              <w:rPr>
                <w:sz w:val="18"/>
                <w:szCs w:val="18"/>
                <w:vertAlign w:val="superscript"/>
              </w:rPr>
              <w:t>a</w:t>
            </w:r>
          </w:p>
        </w:tc>
        <w:tc>
          <w:tcPr>
            <w:tcW w:w="1466" w:type="dxa"/>
            <w:tcBorders>
              <w:top w:val="single" w:color="000000" w:sz="4" w:space="0"/>
              <w:left w:val="single" w:color="auto" w:sz="4" w:space="0"/>
              <w:bottom w:val="single" w:color="000000" w:sz="4" w:space="0"/>
              <w:right w:val="single" w:color="000000" w:sz="4" w:space="0"/>
            </w:tcBorders>
            <w:vAlign w:val="center"/>
          </w:tcPr>
          <w:p>
            <w:pPr>
              <w:pStyle w:val="233"/>
              <w:ind w:firstLine="0" w:firstLineChars="0"/>
              <w:jc w:val="center"/>
              <w:rPr>
                <w:sz w:val="18"/>
                <w:szCs w:val="18"/>
              </w:rPr>
            </w:pPr>
            <w:r>
              <w:rPr>
                <w:rFonts w:hint="eastAsia"/>
                <w:sz w:val="18"/>
                <w:szCs w:val="18"/>
              </w:rPr>
              <w:t>碰压伤</w:t>
            </w:r>
          </w:p>
        </w:tc>
        <w:tc>
          <w:tcPr>
            <w:tcW w:w="1614" w:type="dxa"/>
            <w:tcBorders>
              <w:top w:val="single" w:color="000000" w:sz="4" w:space="0"/>
              <w:left w:val="nil"/>
              <w:bottom w:val="single" w:color="000000" w:sz="4" w:space="0"/>
              <w:right w:val="single" w:color="auto" w:sz="4" w:space="0"/>
            </w:tcBorders>
            <w:vAlign w:val="center"/>
          </w:tcPr>
          <w:p>
            <w:pPr>
              <w:pStyle w:val="233"/>
              <w:ind w:firstLine="0" w:firstLineChars="0"/>
              <w:jc w:val="center"/>
              <w:rPr>
                <w:sz w:val="18"/>
                <w:szCs w:val="18"/>
              </w:rPr>
            </w:pPr>
            <w:r>
              <w:rPr>
                <w:rFonts w:hint="eastAsia"/>
                <w:sz w:val="18"/>
                <w:szCs w:val="18"/>
              </w:rPr>
              <w:t>无</w:t>
            </w:r>
          </w:p>
        </w:tc>
        <w:tc>
          <w:tcPr>
            <w:tcW w:w="2679" w:type="dxa"/>
            <w:tcBorders>
              <w:top w:val="single" w:color="000000" w:sz="4" w:space="0"/>
              <w:left w:val="single" w:color="auto" w:sz="4" w:space="0"/>
              <w:bottom w:val="single" w:color="000000" w:sz="4" w:space="0"/>
              <w:right w:val="single" w:color="auto" w:sz="4" w:space="0"/>
            </w:tcBorders>
            <w:vAlign w:val="center"/>
          </w:tcPr>
          <w:p>
            <w:pPr>
              <w:pStyle w:val="233"/>
              <w:ind w:firstLine="0" w:firstLineChars="0"/>
              <w:jc w:val="center"/>
              <w:rPr>
                <w:sz w:val="18"/>
                <w:szCs w:val="18"/>
              </w:rPr>
            </w:pPr>
            <w:r>
              <w:rPr>
                <w:rFonts w:hint="eastAsia"/>
                <w:sz w:val="18"/>
                <w:szCs w:val="18"/>
              </w:rPr>
              <w:t>允许轻微伤1处，面积＜0.5</w:t>
            </w:r>
            <w:r>
              <w:rPr>
                <w:rFonts w:hint="eastAsia"/>
                <w:sz w:val="18"/>
                <w:szCs w:val="18"/>
                <w:vertAlign w:val="subscript"/>
              </w:rPr>
              <w:t xml:space="preserve"> </w:t>
            </w:r>
            <w:r>
              <w:rPr>
                <w:rFonts w:hint="eastAsia"/>
                <w:sz w:val="18"/>
                <w:szCs w:val="18"/>
              </w:rPr>
              <w:t>cm</w:t>
            </w:r>
            <w:r>
              <w:rPr>
                <w:rFonts w:hint="eastAsia"/>
                <w:sz w:val="18"/>
                <w:szCs w:val="18"/>
                <w:vertAlign w:val="superscript"/>
              </w:rPr>
              <w:t>2</w:t>
            </w:r>
            <w:r>
              <w:rPr>
                <w:rFonts w:hint="eastAsia"/>
                <w:sz w:val="18"/>
                <w:szCs w:val="18"/>
              </w:rPr>
              <w:t>，不准许变褐</w:t>
            </w:r>
          </w:p>
        </w:tc>
        <w:tc>
          <w:tcPr>
            <w:tcW w:w="2148" w:type="dxa"/>
            <w:gridSpan w:val="2"/>
            <w:tcBorders>
              <w:top w:val="single" w:color="000000" w:sz="4" w:space="0"/>
              <w:left w:val="single" w:color="auto" w:sz="4" w:space="0"/>
              <w:bottom w:val="single" w:color="000000" w:sz="4" w:space="0"/>
              <w:right w:val="single" w:color="000000" w:sz="8" w:space="0"/>
            </w:tcBorders>
            <w:vAlign w:val="center"/>
          </w:tcPr>
          <w:p>
            <w:pPr>
              <w:pStyle w:val="233"/>
              <w:ind w:firstLine="0" w:firstLineChars="0"/>
              <w:jc w:val="center"/>
              <w:rPr>
                <w:sz w:val="18"/>
                <w:szCs w:val="18"/>
              </w:rPr>
            </w:pPr>
            <w:r>
              <w:rPr>
                <w:rFonts w:hint="eastAsia"/>
                <w:sz w:val="18"/>
                <w:szCs w:val="18"/>
              </w:rPr>
              <w:t>允许轻微伤2处，面积＜1.0</w:t>
            </w:r>
            <w:r>
              <w:rPr>
                <w:rFonts w:hint="eastAsia"/>
                <w:sz w:val="18"/>
                <w:szCs w:val="18"/>
                <w:vertAlign w:val="subscript"/>
              </w:rPr>
              <w:t xml:space="preserve"> </w:t>
            </w:r>
            <w:r>
              <w:rPr>
                <w:rFonts w:hint="eastAsia"/>
                <w:sz w:val="18"/>
                <w:szCs w:val="18"/>
              </w:rPr>
              <w:t>cm</w:t>
            </w:r>
            <w:r>
              <w:rPr>
                <w:rFonts w:hint="eastAsia"/>
                <w:sz w:val="18"/>
                <w:szCs w:val="18"/>
                <w:vertAlign w:val="superscript"/>
              </w:rPr>
              <w:t>2</w:t>
            </w:r>
            <w:r>
              <w:rPr>
                <w:rFonts w:hint="eastAsia"/>
                <w:sz w:val="18"/>
                <w:szCs w:val="18"/>
              </w:rPr>
              <w:t>，不准许变褐</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1" w:hRule="atLeast"/>
          <w:jc w:val="center"/>
        </w:trPr>
        <w:tc>
          <w:tcPr>
            <w:tcW w:w="1465" w:type="dxa"/>
            <w:vMerge w:val="continue"/>
            <w:tcBorders>
              <w:left w:val="single" w:color="000000" w:sz="8" w:space="0"/>
              <w:bottom w:val="single" w:color="auto" w:sz="4" w:space="0"/>
              <w:right w:val="single" w:color="auto" w:sz="4" w:space="0"/>
            </w:tcBorders>
            <w:vAlign w:val="center"/>
          </w:tcPr>
          <w:p>
            <w:pPr>
              <w:pStyle w:val="233"/>
              <w:ind w:firstLine="0" w:firstLineChars="0"/>
              <w:jc w:val="center"/>
              <w:rPr>
                <w:sz w:val="18"/>
                <w:szCs w:val="18"/>
              </w:rPr>
            </w:pPr>
          </w:p>
        </w:tc>
        <w:tc>
          <w:tcPr>
            <w:tcW w:w="1466" w:type="dxa"/>
            <w:tcBorders>
              <w:top w:val="single" w:color="000000" w:sz="4" w:space="0"/>
              <w:left w:val="single" w:color="auto" w:sz="4" w:space="0"/>
              <w:bottom w:val="single" w:color="000000" w:sz="4" w:space="0"/>
              <w:right w:val="single" w:color="000000" w:sz="4" w:space="0"/>
            </w:tcBorders>
            <w:vAlign w:val="center"/>
          </w:tcPr>
          <w:p>
            <w:pPr>
              <w:pStyle w:val="233"/>
              <w:ind w:firstLine="0" w:firstLineChars="0"/>
              <w:jc w:val="center"/>
              <w:rPr>
                <w:sz w:val="18"/>
                <w:szCs w:val="18"/>
              </w:rPr>
            </w:pPr>
            <w:r>
              <w:rPr>
                <w:rFonts w:hint="eastAsia"/>
                <w:sz w:val="18"/>
                <w:szCs w:val="18"/>
              </w:rPr>
              <w:t>刺伤</w:t>
            </w:r>
          </w:p>
        </w:tc>
        <w:tc>
          <w:tcPr>
            <w:tcW w:w="1614" w:type="dxa"/>
            <w:tcBorders>
              <w:top w:val="single" w:color="000000" w:sz="4" w:space="0"/>
              <w:left w:val="nil"/>
              <w:bottom w:val="single" w:color="000000" w:sz="4" w:space="0"/>
              <w:right w:val="single" w:color="auto" w:sz="4" w:space="0"/>
            </w:tcBorders>
            <w:vAlign w:val="center"/>
          </w:tcPr>
          <w:p>
            <w:pPr>
              <w:pStyle w:val="233"/>
              <w:ind w:firstLine="0" w:firstLineChars="0"/>
              <w:jc w:val="center"/>
              <w:rPr>
                <w:sz w:val="18"/>
                <w:szCs w:val="18"/>
              </w:rPr>
            </w:pPr>
            <w:r>
              <w:rPr>
                <w:rFonts w:hint="eastAsia"/>
                <w:sz w:val="18"/>
                <w:szCs w:val="18"/>
              </w:rPr>
              <w:t>无</w:t>
            </w:r>
          </w:p>
        </w:tc>
        <w:tc>
          <w:tcPr>
            <w:tcW w:w="2679" w:type="dxa"/>
            <w:tcBorders>
              <w:top w:val="single" w:color="000000" w:sz="4" w:space="0"/>
              <w:left w:val="single" w:color="auto" w:sz="4" w:space="0"/>
              <w:bottom w:val="single" w:color="000000" w:sz="4" w:space="0"/>
              <w:right w:val="single" w:color="auto" w:sz="4" w:space="0"/>
            </w:tcBorders>
            <w:vAlign w:val="center"/>
          </w:tcPr>
          <w:p>
            <w:pPr>
              <w:pStyle w:val="233"/>
              <w:ind w:firstLine="0" w:firstLineChars="0"/>
              <w:jc w:val="center"/>
              <w:rPr>
                <w:sz w:val="18"/>
                <w:szCs w:val="18"/>
              </w:rPr>
            </w:pPr>
            <w:r>
              <w:rPr>
                <w:rFonts w:hint="eastAsia"/>
                <w:sz w:val="18"/>
                <w:szCs w:val="18"/>
              </w:rPr>
              <w:t>无</w:t>
            </w:r>
          </w:p>
        </w:tc>
        <w:tc>
          <w:tcPr>
            <w:tcW w:w="2148" w:type="dxa"/>
            <w:gridSpan w:val="2"/>
            <w:tcBorders>
              <w:top w:val="single" w:color="000000" w:sz="4" w:space="0"/>
              <w:left w:val="single" w:color="auto" w:sz="4" w:space="0"/>
              <w:bottom w:val="single" w:color="000000" w:sz="4" w:space="0"/>
              <w:right w:val="single" w:color="000000" w:sz="8" w:space="0"/>
            </w:tcBorders>
            <w:vAlign w:val="center"/>
          </w:tcPr>
          <w:p>
            <w:pPr>
              <w:pStyle w:val="233"/>
              <w:ind w:firstLine="0" w:firstLineChars="0"/>
              <w:jc w:val="center"/>
              <w:rPr>
                <w:sz w:val="18"/>
                <w:szCs w:val="18"/>
              </w:rPr>
            </w:pPr>
            <w:r>
              <w:rPr>
                <w:rFonts w:hint="eastAsia"/>
                <w:sz w:val="18"/>
                <w:szCs w:val="18"/>
              </w:rPr>
              <w:t>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1" w:hRule="atLeast"/>
          <w:jc w:val="center"/>
        </w:trPr>
        <w:tc>
          <w:tcPr>
            <w:tcW w:w="1465" w:type="dxa"/>
            <w:vMerge w:val="continue"/>
            <w:tcBorders>
              <w:left w:val="single" w:color="000000" w:sz="8" w:space="0"/>
              <w:bottom w:val="single" w:color="auto" w:sz="4" w:space="0"/>
              <w:right w:val="single" w:color="auto" w:sz="4" w:space="0"/>
            </w:tcBorders>
            <w:vAlign w:val="center"/>
          </w:tcPr>
          <w:p>
            <w:pPr>
              <w:pStyle w:val="233"/>
              <w:ind w:firstLine="0" w:firstLineChars="0"/>
              <w:jc w:val="center"/>
              <w:rPr>
                <w:sz w:val="18"/>
                <w:szCs w:val="18"/>
              </w:rPr>
            </w:pPr>
          </w:p>
        </w:tc>
        <w:tc>
          <w:tcPr>
            <w:tcW w:w="1466" w:type="dxa"/>
            <w:tcBorders>
              <w:top w:val="single" w:color="000000" w:sz="4" w:space="0"/>
              <w:left w:val="single" w:color="auto" w:sz="4" w:space="0"/>
              <w:bottom w:val="single" w:color="000000" w:sz="4" w:space="0"/>
              <w:right w:val="single" w:color="000000" w:sz="4" w:space="0"/>
            </w:tcBorders>
            <w:vAlign w:val="center"/>
          </w:tcPr>
          <w:p>
            <w:pPr>
              <w:pStyle w:val="233"/>
              <w:ind w:firstLine="0" w:firstLineChars="0"/>
              <w:jc w:val="center"/>
              <w:rPr>
                <w:sz w:val="18"/>
                <w:szCs w:val="18"/>
              </w:rPr>
            </w:pPr>
            <w:r>
              <w:rPr>
                <w:rFonts w:hint="eastAsia"/>
                <w:sz w:val="18"/>
                <w:szCs w:val="18"/>
              </w:rPr>
              <w:t>摩擦伤</w:t>
            </w:r>
          </w:p>
        </w:tc>
        <w:tc>
          <w:tcPr>
            <w:tcW w:w="1614" w:type="dxa"/>
            <w:tcBorders>
              <w:top w:val="single" w:color="000000" w:sz="4" w:space="0"/>
              <w:left w:val="nil"/>
              <w:bottom w:val="single" w:color="000000" w:sz="4" w:space="0"/>
              <w:right w:val="single" w:color="auto" w:sz="4" w:space="0"/>
            </w:tcBorders>
            <w:vAlign w:val="center"/>
          </w:tcPr>
          <w:p>
            <w:pPr>
              <w:pStyle w:val="233"/>
              <w:ind w:firstLine="0" w:firstLineChars="0"/>
              <w:jc w:val="center"/>
              <w:rPr>
                <w:sz w:val="18"/>
                <w:szCs w:val="18"/>
              </w:rPr>
            </w:pPr>
            <w:r>
              <w:rPr>
                <w:rFonts w:hint="eastAsia"/>
                <w:sz w:val="18"/>
                <w:szCs w:val="18"/>
              </w:rPr>
              <w:t>无</w:t>
            </w:r>
          </w:p>
        </w:tc>
        <w:tc>
          <w:tcPr>
            <w:tcW w:w="2679" w:type="dxa"/>
            <w:tcBorders>
              <w:top w:val="single" w:color="000000" w:sz="4" w:space="0"/>
              <w:left w:val="single" w:color="auto" w:sz="4" w:space="0"/>
              <w:bottom w:val="single" w:color="000000" w:sz="4" w:space="0"/>
              <w:right w:val="single" w:color="auto" w:sz="4" w:space="0"/>
            </w:tcBorders>
            <w:vAlign w:val="center"/>
          </w:tcPr>
          <w:p>
            <w:pPr>
              <w:pStyle w:val="233"/>
              <w:ind w:firstLine="0" w:firstLineChars="0"/>
              <w:jc w:val="center"/>
              <w:rPr>
                <w:sz w:val="18"/>
                <w:szCs w:val="18"/>
              </w:rPr>
            </w:pPr>
            <w:r>
              <w:rPr>
                <w:rFonts w:hint="eastAsia"/>
                <w:sz w:val="18"/>
                <w:szCs w:val="18"/>
              </w:rPr>
              <w:t>允许轻微，面积不超过表面积的5％</w:t>
            </w:r>
          </w:p>
        </w:tc>
        <w:tc>
          <w:tcPr>
            <w:tcW w:w="2148" w:type="dxa"/>
            <w:gridSpan w:val="2"/>
            <w:tcBorders>
              <w:top w:val="single" w:color="000000" w:sz="4" w:space="0"/>
              <w:left w:val="single" w:color="auto" w:sz="4" w:space="0"/>
              <w:bottom w:val="single" w:color="000000" w:sz="4" w:space="0"/>
              <w:right w:val="single" w:color="000000" w:sz="8" w:space="0"/>
            </w:tcBorders>
            <w:vAlign w:val="center"/>
          </w:tcPr>
          <w:p>
            <w:pPr>
              <w:pStyle w:val="233"/>
              <w:ind w:firstLine="0" w:firstLineChars="0"/>
              <w:jc w:val="center"/>
              <w:rPr>
                <w:sz w:val="18"/>
                <w:szCs w:val="18"/>
              </w:rPr>
            </w:pPr>
            <w:r>
              <w:rPr>
                <w:rFonts w:hint="eastAsia"/>
                <w:sz w:val="18"/>
                <w:szCs w:val="18"/>
              </w:rPr>
              <w:t>允许轻微，面积不超过表面积的8％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0" w:hRule="atLeast"/>
          <w:jc w:val="center"/>
        </w:trPr>
        <w:tc>
          <w:tcPr>
            <w:tcW w:w="1465" w:type="dxa"/>
            <w:vMerge w:val="continue"/>
            <w:tcBorders>
              <w:left w:val="single" w:color="000000" w:sz="8" w:space="0"/>
              <w:bottom w:val="single" w:color="auto" w:sz="4" w:space="0"/>
              <w:right w:val="single" w:color="auto" w:sz="4" w:space="0"/>
            </w:tcBorders>
            <w:vAlign w:val="center"/>
          </w:tcPr>
          <w:p>
            <w:pPr>
              <w:pStyle w:val="233"/>
              <w:ind w:firstLine="0" w:firstLineChars="0"/>
              <w:jc w:val="center"/>
              <w:rPr>
                <w:sz w:val="18"/>
                <w:szCs w:val="18"/>
              </w:rPr>
            </w:pPr>
          </w:p>
        </w:tc>
        <w:tc>
          <w:tcPr>
            <w:tcW w:w="1466" w:type="dxa"/>
            <w:tcBorders>
              <w:top w:val="single" w:color="000000" w:sz="4" w:space="0"/>
              <w:left w:val="single" w:color="auto" w:sz="4" w:space="0"/>
              <w:bottom w:val="single" w:color="000000" w:sz="4" w:space="0"/>
              <w:right w:val="single" w:color="000000" w:sz="4" w:space="0"/>
            </w:tcBorders>
            <w:vAlign w:val="center"/>
          </w:tcPr>
          <w:p>
            <w:pPr>
              <w:pStyle w:val="233"/>
              <w:ind w:firstLine="0" w:firstLineChars="0"/>
              <w:jc w:val="center"/>
              <w:rPr>
                <w:sz w:val="18"/>
                <w:szCs w:val="18"/>
              </w:rPr>
            </w:pPr>
            <w:r>
              <w:rPr>
                <w:rFonts w:hint="eastAsia"/>
                <w:sz w:val="18"/>
                <w:szCs w:val="18"/>
              </w:rPr>
              <w:t>药斑</w:t>
            </w:r>
          </w:p>
        </w:tc>
        <w:tc>
          <w:tcPr>
            <w:tcW w:w="1614" w:type="dxa"/>
            <w:tcBorders>
              <w:top w:val="single" w:color="000000" w:sz="4" w:space="0"/>
              <w:left w:val="nil"/>
              <w:bottom w:val="single" w:color="000000" w:sz="4" w:space="0"/>
              <w:right w:val="single" w:color="auto" w:sz="4" w:space="0"/>
            </w:tcBorders>
            <w:vAlign w:val="center"/>
          </w:tcPr>
          <w:p>
            <w:pPr>
              <w:pStyle w:val="233"/>
              <w:ind w:firstLine="0" w:firstLineChars="0"/>
              <w:jc w:val="center"/>
              <w:rPr>
                <w:sz w:val="18"/>
                <w:szCs w:val="18"/>
              </w:rPr>
            </w:pPr>
            <w:r>
              <w:rPr>
                <w:rFonts w:hint="eastAsia"/>
                <w:sz w:val="18"/>
                <w:szCs w:val="18"/>
              </w:rPr>
              <w:t>无</w:t>
            </w:r>
          </w:p>
        </w:tc>
        <w:tc>
          <w:tcPr>
            <w:tcW w:w="2679" w:type="dxa"/>
            <w:tcBorders>
              <w:top w:val="single" w:color="000000" w:sz="4" w:space="0"/>
              <w:left w:val="single" w:color="auto" w:sz="4" w:space="0"/>
              <w:bottom w:val="single" w:color="000000" w:sz="4" w:space="0"/>
              <w:right w:val="single" w:color="auto" w:sz="4" w:space="0"/>
            </w:tcBorders>
            <w:vAlign w:val="center"/>
          </w:tcPr>
          <w:p>
            <w:pPr>
              <w:pStyle w:val="233"/>
              <w:ind w:firstLine="0" w:firstLineChars="0"/>
              <w:jc w:val="center"/>
              <w:rPr>
                <w:sz w:val="18"/>
                <w:szCs w:val="18"/>
              </w:rPr>
            </w:pPr>
            <w:r>
              <w:rPr>
                <w:rFonts w:hint="eastAsia"/>
                <w:sz w:val="18"/>
                <w:szCs w:val="18"/>
              </w:rPr>
              <w:t>允许轻微薄层，面积不超过表面积的10％</w:t>
            </w:r>
          </w:p>
        </w:tc>
        <w:tc>
          <w:tcPr>
            <w:tcW w:w="2148" w:type="dxa"/>
            <w:gridSpan w:val="2"/>
            <w:tcBorders>
              <w:top w:val="single" w:color="000000" w:sz="4" w:space="0"/>
              <w:left w:val="single" w:color="auto" w:sz="4" w:space="0"/>
              <w:bottom w:val="single" w:color="000000" w:sz="4" w:space="0"/>
              <w:right w:val="single" w:color="000000" w:sz="8" w:space="0"/>
            </w:tcBorders>
            <w:vAlign w:val="center"/>
          </w:tcPr>
          <w:p>
            <w:pPr>
              <w:pStyle w:val="233"/>
              <w:ind w:firstLine="0" w:firstLineChars="0"/>
              <w:jc w:val="center"/>
              <w:rPr>
                <w:sz w:val="18"/>
                <w:szCs w:val="18"/>
              </w:rPr>
            </w:pPr>
            <w:r>
              <w:rPr>
                <w:rFonts w:hint="eastAsia"/>
                <w:sz w:val="18"/>
                <w:szCs w:val="18"/>
              </w:rPr>
              <w:t>允许轻微薄层，面积不超过表面积的15％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1" w:hRule="atLeast"/>
          <w:jc w:val="center"/>
        </w:trPr>
        <w:tc>
          <w:tcPr>
            <w:tcW w:w="1465" w:type="dxa"/>
            <w:vMerge w:val="continue"/>
            <w:tcBorders>
              <w:left w:val="single" w:color="000000" w:sz="8" w:space="0"/>
              <w:bottom w:val="single" w:color="auto" w:sz="4" w:space="0"/>
              <w:right w:val="single" w:color="auto" w:sz="4" w:space="0"/>
            </w:tcBorders>
            <w:vAlign w:val="center"/>
          </w:tcPr>
          <w:p>
            <w:pPr>
              <w:pStyle w:val="233"/>
              <w:ind w:firstLine="0" w:firstLineChars="0"/>
              <w:jc w:val="center"/>
              <w:rPr>
                <w:sz w:val="18"/>
                <w:szCs w:val="18"/>
              </w:rPr>
            </w:pPr>
          </w:p>
        </w:tc>
        <w:tc>
          <w:tcPr>
            <w:tcW w:w="1466" w:type="dxa"/>
            <w:tcBorders>
              <w:top w:val="single" w:color="000000" w:sz="4" w:space="0"/>
              <w:left w:val="single" w:color="auto" w:sz="4" w:space="0"/>
              <w:bottom w:val="single" w:color="000000" w:sz="4" w:space="0"/>
              <w:right w:val="single" w:color="000000" w:sz="4" w:space="0"/>
            </w:tcBorders>
            <w:vAlign w:val="center"/>
          </w:tcPr>
          <w:p>
            <w:pPr>
              <w:pStyle w:val="233"/>
              <w:ind w:firstLine="0" w:firstLineChars="0"/>
              <w:jc w:val="center"/>
              <w:rPr>
                <w:sz w:val="18"/>
                <w:szCs w:val="18"/>
              </w:rPr>
            </w:pPr>
            <w:r>
              <w:rPr>
                <w:rFonts w:hint="eastAsia"/>
                <w:sz w:val="18"/>
                <w:szCs w:val="18"/>
              </w:rPr>
              <w:t>日灼斑</w:t>
            </w:r>
          </w:p>
        </w:tc>
        <w:tc>
          <w:tcPr>
            <w:tcW w:w="1614" w:type="dxa"/>
            <w:tcBorders>
              <w:top w:val="single" w:color="000000" w:sz="4" w:space="0"/>
              <w:left w:val="nil"/>
              <w:bottom w:val="single" w:color="000000" w:sz="4" w:space="0"/>
              <w:right w:val="single" w:color="auto" w:sz="4" w:space="0"/>
            </w:tcBorders>
            <w:vAlign w:val="center"/>
          </w:tcPr>
          <w:p>
            <w:pPr>
              <w:pStyle w:val="233"/>
              <w:ind w:firstLine="0" w:firstLineChars="0"/>
              <w:jc w:val="center"/>
              <w:rPr>
                <w:sz w:val="18"/>
                <w:szCs w:val="18"/>
              </w:rPr>
            </w:pPr>
            <w:r>
              <w:rPr>
                <w:rFonts w:hint="eastAsia"/>
                <w:sz w:val="18"/>
                <w:szCs w:val="18"/>
              </w:rPr>
              <w:t>无</w:t>
            </w:r>
          </w:p>
        </w:tc>
        <w:tc>
          <w:tcPr>
            <w:tcW w:w="2679" w:type="dxa"/>
            <w:tcBorders>
              <w:top w:val="single" w:color="000000" w:sz="4" w:space="0"/>
              <w:left w:val="single" w:color="auto" w:sz="4" w:space="0"/>
              <w:bottom w:val="single" w:color="000000" w:sz="4" w:space="0"/>
              <w:right w:val="single" w:color="auto" w:sz="4" w:space="0"/>
            </w:tcBorders>
            <w:vAlign w:val="center"/>
          </w:tcPr>
          <w:p>
            <w:pPr>
              <w:pStyle w:val="233"/>
              <w:ind w:firstLine="0" w:firstLineChars="0"/>
              <w:jc w:val="center"/>
              <w:rPr>
                <w:sz w:val="18"/>
                <w:szCs w:val="18"/>
              </w:rPr>
            </w:pPr>
            <w:r>
              <w:rPr>
                <w:rFonts w:hint="eastAsia"/>
                <w:sz w:val="18"/>
                <w:szCs w:val="18"/>
              </w:rPr>
              <w:t>总面积不超过0.1</w:t>
            </w:r>
            <w:r>
              <w:rPr>
                <w:rFonts w:hint="eastAsia"/>
                <w:sz w:val="18"/>
                <w:szCs w:val="18"/>
                <w:vertAlign w:val="superscript"/>
              </w:rPr>
              <w:t xml:space="preserve"> </w:t>
            </w:r>
            <w:r>
              <w:rPr>
                <w:rFonts w:hint="eastAsia"/>
                <w:sz w:val="18"/>
                <w:szCs w:val="18"/>
              </w:rPr>
              <w:t>cm</w:t>
            </w:r>
            <w:r>
              <w:rPr>
                <w:rFonts w:hint="eastAsia"/>
                <w:sz w:val="18"/>
                <w:szCs w:val="18"/>
                <w:vertAlign w:val="superscript"/>
              </w:rPr>
              <w:t>2</w:t>
            </w:r>
          </w:p>
        </w:tc>
        <w:tc>
          <w:tcPr>
            <w:tcW w:w="2148" w:type="dxa"/>
            <w:gridSpan w:val="2"/>
            <w:tcBorders>
              <w:top w:val="single" w:color="000000" w:sz="4" w:space="0"/>
              <w:left w:val="single" w:color="auto" w:sz="4" w:space="0"/>
              <w:bottom w:val="single" w:color="000000" w:sz="4" w:space="0"/>
              <w:right w:val="single" w:color="000000" w:sz="8" w:space="0"/>
            </w:tcBorders>
            <w:vAlign w:val="center"/>
          </w:tcPr>
          <w:p>
            <w:pPr>
              <w:pStyle w:val="233"/>
              <w:ind w:firstLine="0" w:firstLineChars="0"/>
              <w:jc w:val="center"/>
              <w:rPr>
                <w:sz w:val="18"/>
                <w:szCs w:val="18"/>
              </w:rPr>
            </w:pPr>
            <w:r>
              <w:rPr>
                <w:rFonts w:hint="eastAsia"/>
                <w:sz w:val="18"/>
                <w:szCs w:val="18"/>
              </w:rPr>
              <w:t>总面积不超过0.15</w:t>
            </w:r>
            <w:r>
              <w:rPr>
                <w:rFonts w:hint="eastAsia"/>
                <w:sz w:val="18"/>
                <w:szCs w:val="18"/>
                <w:vertAlign w:val="superscript"/>
              </w:rPr>
              <w:t xml:space="preserve"> </w:t>
            </w:r>
            <w:r>
              <w:rPr>
                <w:rFonts w:hint="eastAsia"/>
                <w:sz w:val="18"/>
                <w:szCs w:val="18"/>
              </w:rPr>
              <w:t>cm</w:t>
            </w:r>
            <w:r>
              <w:rPr>
                <w:rFonts w:hint="eastAsia"/>
                <w:sz w:val="18"/>
                <w:szCs w:val="18"/>
                <w:vertAlign w:val="superscript"/>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1" w:hRule="atLeast"/>
          <w:jc w:val="center"/>
        </w:trPr>
        <w:tc>
          <w:tcPr>
            <w:tcW w:w="1465" w:type="dxa"/>
            <w:vMerge w:val="continue"/>
            <w:tcBorders>
              <w:left w:val="single" w:color="000000" w:sz="8" w:space="0"/>
              <w:bottom w:val="single" w:color="auto" w:sz="4" w:space="0"/>
              <w:right w:val="single" w:color="auto" w:sz="4" w:space="0"/>
            </w:tcBorders>
            <w:vAlign w:val="center"/>
          </w:tcPr>
          <w:p>
            <w:pPr>
              <w:pStyle w:val="233"/>
              <w:ind w:firstLine="0" w:firstLineChars="0"/>
              <w:jc w:val="center"/>
              <w:rPr>
                <w:sz w:val="18"/>
                <w:szCs w:val="18"/>
              </w:rPr>
            </w:pPr>
          </w:p>
        </w:tc>
        <w:tc>
          <w:tcPr>
            <w:tcW w:w="1466" w:type="dxa"/>
            <w:tcBorders>
              <w:top w:val="single" w:color="000000" w:sz="4" w:space="0"/>
              <w:left w:val="single" w:color="auto" w:sz="4" w:space="0"/>
              <w:bottom w:val="single" w:color="000000" w:sz="4" w:space="0"/>
              <w:right w:val="single" w:color="000000" w:sz="4" w:space="0"/>
            </w:tcBorders>
            <w:vAlign w:val="center"/>
          </w:tcPr>
          <w:p>
            <w:pPr>
              <w:pStyle w:val="233"/>
              <w:ind w:firstLine="0" w:firstLineChars="0"/>
              <w:jc w:val="center"/>
              <w:rPr>
                <w:sz w:val="18"/>
                <w:szCs w:val="18"/>
              </w:rPr>
            </w:pPr>
            <w:r>
              <w:rPr>
                <w:rFonts w:hint="eastAsia"/>
                <w:sz w:val="18"/>
                <w:szCs w:val="18"/>
              </w:rPr>
              <w:t>虫伤</w:t>
            </w:r>
          </w:p>
        </w:tc>
        <w:tc>
          <w:tcPr>
            <w:tcW w:w="1614" w:type="dxa"/>
            <w:tcBorders>
              <w:top w:val="single" w:color="000000" w:sz="4" w:space="0"/>
              <w:left w:val="nil"/>
              <w:bottom w:val="single" w:color="000000" w:sz="4" w:space="0"/>
              <w:right w:val="single" w:color="auto" w:sz="4" w:space="0"/>
            </w:tcBorders>
            <w:vAlign w:val="center"/>
          </w:tcPr>
          <w:p>
            <w:pPr>
              <w:pStyle w:val="233"/>
              <w:ind w:firstLine="0" w:firstLineChars="0"/>
              <w:jc w:val="center"/>
              <w:rPr>
                <w:sz w:val="18"/>
                <w:szCs w:val="18"/>
              </w:rPr>
            </w:pPr>
            <w:r>
              <w:rPr>
                <w:rFonts w:hint="eastAsia"/>
                <w:sz w:val="18"/>
                <w:szCs w:val="18"/>
              </w:rPr>
              <w:t>无</w:t>
            </w:r>
          </w:p>
        </w:tc>
        <w:tc>
          <w:tcPr>
            <w:tcW w:w="2679" w:type="dxa"/>
            <w:tcBorders>
              <w:top w:val="single" w:color="000000" w:sz="4" w:space="0"/>
              <w:left w:val="single" w:color="auto" w:sz="4" w:space="0"/>
              <w:bottom w:val="single" w:color="000000" w:sz="4" w:space="0"/>
              <w:right w:val="single" w:color="auto" w:sz="4" w:space="0"/>
            </w:tcBorders>
            <w:vAlign w:val="center"/>
          </w:tcPr>
          <w:p>
            <w:pPr>
              <w:pStyle w:val="233"/>
              <w:ind w:firstLine="0" w:firstLineChars="0"/>
              <w:jc w:val="center"/>
              <w:rPr>
                <w:sz w:val="18"/>
                <w:szCs w:val="18"/>
              </w:rPr>
            </w:pPr>
            <w:r>
              <w:rPr>
                <w:rFonts w:hint="eastAsia"/>
                <w:sz w:val="18"/>
                <w:szCs w:val="18"/>
              </w:rPr>
              <w:t>允许干枯虫伤1处，总面积不超过0.1</w:t>
            </w:r>
            <w:r>
              <w:rPr>
                <w:rFonts w:hint="eastAsia"/>
                <w:sz w:val="18"/>
                <w:szCs w:val="18"/>
                <w:vertAlign w:val="superscript"/>
              </w:rPr>
              <w:t xml:space="preserve"> </w:t>
            </w:r>
            <w:r>
              <w:rPr>
                <w:rFonts w:hint="eastAsia"/>
                <w:sz w:val="18"/>
                <w:szCs w:val="18"/>
              </w:rPr>
              <w:t>cm</w:t>
            </w:r>
            <w:r>
              <w:rPr>
                <w:rFonts w:hint="eastAsia"/>
                <w:sz w:val="18"/>
                <w:szCs w:val="18"/>
                <w:vertAlign w:val="superscript"/>
              </w:rPr>
              <w:t xml:space="preserve"> </w:t>
            </w:r>
          </w:p>
        </w:tc>
        <w:tc>
          <w:tcPr>
            <w:tcW w:w="2148" w:type="dxa"/>
            <w:gridSpan w:val="2"/>
            <w:tcBorders>
              <w:top w:val="single" w:color="000000" w:sz="4" w:space="0"/>
              <w:left w:val="single" w:color="auto" w:sz="4" w:space="0"/>
              <w:bottom w:val="single" w:color="000000" w:sz="4" w:space="0"/>
              <w:right w:val="single" w:color="000000" w:sz="8" w:space="0"/>
            </w:tcBorders>
            <w:vAlign w:val="center"/>
          </w:tcPr>
          <w:p>
            <w:pPr>
              <w:pStyle w:val="233"/>
              <w:ind w:firstLine="0" w:firstLineChars="0"/>
              <w:jc w:val="center"/>
              <w:rPr>
                <w:sz w:val="18"/>
                <w:szCs w:val="18"/>
              </w:rPr>
            </w:pPr>
            <w:r>
              <w:rPr>
                <w:rFonts w:hint="eastAsia"/>
                <w:sz w:val="18"/>
                <w:szCs w:val="18"/>
              </w:rPr>
              <w:t>允许干枯虫伤2处，总面积不超过0.2</w:t>
            </w:r>
            <w:r>
              <w:rPr>
                <w:rFonts w:hint="eastAsia"/>
                <w:sz w:val="18"/>
                <w:szCs w:val="18"/>
                <w:vertAlign w:val="superscript"/>
              </w:rPr>
              <w:t xml:space="preserve"> </w:t>
            </w:r>
            <w:r>
              <w:rPr>
                <w:rFonts w:hint="eastAsia"/>
                <w:sz w:val="18"/>
                <w:szCs w:val="18"/>
              </w:rPr>
              <w:t>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1" w:hRule="atLeast"/>
          <w:jc w:val="center"/>
        </w:trPr>
        <w:tc>
          <w:tcPr>
            <w:tcW w:w="1465" w:type="dxa"/>
            <w:vMerge w:val="continue"/>
            <w:tcBorders>
              <w:left w:val="single" w:color="000000" w:sz="8" w:space="0"/>
              <w:bottom w:val="single" w:color="auto" w:sz="4" w:space="0"/>
              <w:right w:val="single" w:color="auto" w:sz="4" w:space="0"/>
            </w:tcBorders>
            <w:vAlign w:val="center"/>
          </w:tcPr>
          <w:p>
            <w:pPr>
              <w:pStyle w:val="233"/>
              <w:ind w:firstLine="0" w:firstLineChars="0"/>
              <w:jc w:val="center"/>
              <w:rPr>
                <w:sz w:val="18"/>
                <w:szCs w:val="18"/>
              </w:rPr>
            </w:pPr>
          </w:p>
        </w:tc>
        <w:tc>
          <w:tcPr>
            <w:tcW w:w="1466" w:type="dxa"/>
            <w:tcBorders>
              <w:top w:val="single" w:color="000000" w:sz="4" w:space="0"/>
              <w:left w:val="single" w:color="auto" w:sz="4" w:space="0"/>
              <w:bottom w:val="single" w:color="000000" w:sz="4" w:space="0"/>
              <w:right w:val="single" w:color="000000" w:sz="4" w:space="0"/>
            </w:tcBorders>
            <w:vAlign w:val="center"/>
          </w:tcPr>
          <w:p>
            <w:pPr>
              <w:pStyle w:val="233"/>
              <w:ind w:firstLine="0" w:firstLineChars="0"/>
              <w:jc w:val="center"/>
              <w:rPr>
                <w:sz w:val="18"/>
                <w:szCs w:val="18"/>
              </w:rPr>
            </w:pPr>
            <w:r>
              <w:rPr>
                <w:rFonts w:hint="eastAsia"/>
                <w:sz w:val="18"/>
                <w:szCs w:val="18"/>
              </w:rPr>
              <w:t>病斑</w:t>
            </w:r>
          </w:p>
        </w:tc>
        <w:tc>
          <w:tcPr>
            <w:tcW w:w="1614" w:type="dxa"/>
            <w:tcBorders>
              <w:top w:val="single" w:color="000000" w:sz="4" w:space="0"/>
              <w:left w:val="nil"/>
              <w:bottom w:val="single" w:color="000000" w:sz="4" w:space="0"/>
              <w:right w:val="single" w:color="auto" w:sz="4" w:space="0"/>
            </w:tcBorders>
            <w:vAlign w:val="center"/>
          </w:tcPr>
          <w:p>
            <w:pPr>
              <w:pStyle w:val="233"/>
              <w:ind w:firstLine="0" w:firstLineChars="0"/>
              <w:jc w:val="center"/>
              <w:rPr>
                <w:sz w:val="18"/>
                <w:szCs w:val="18"/>
              </w:rPr>
            </w:pPr>
            <w:r>
              <w:rPr>
                <w:rFonts w:hint="eastAsia"/>
                <w:sz w:val="18"/>
                <w:szCs w:val="18"/>
              </w:rPr>
              <w:t>无</w:t>
            </w:r>
          </w:p>
        </w:tc>
        <w:tc>
          <w:tcPr>
            <w:tcW w:w="2679" w:type="dxa"/>
            <w:tcBorders>
              <w:top w:val="single" w:color="000000" w:sz="4" w:space="0"/>
              <w:left w:val="single" w:color="auto" w:sz="4" w:space="0"/>
              <w:bottom w:val="single" w:color="000000" w:sz="4" w:space="0"/>
              <w:right w:val="single" w:color="auto" w:sz="4" w:space="0"/>
            </w:tcBorders>
            <w:vAlign w:val="center"/>
          </w:tcPr>
          <w:p>
            <w:pPr>
              <w:pStyle w:val="233"/>
              <w:ind w:firstLine="0" w:firstLineChars="0"/>
              <w:jc w:val="center"/>
              <w:rPr>
                <w:sz w:val="18"/>
                <w:szCs w:val="18"/>
              </w:rPr>
            </w:pPr>
            <w:r>
              <w:rPr>
                <w:rFonts w:hint="eastAsia"/>
                <w:sz w:val="18"/>
                <w:szCs w:val="18"/>
              </w:rPr>
              <w:t>无</w:t>
            </w:r>
          </w:p>
        </w:tc>
        <w:tc>
          <w:tcPr>
            <w:tcW w:w="2148" w:type="dxa"/>
            <w:gridSpan w:val="2"/>
            <w:tcBorders>
              <w:top w:val="single" w:color="000000" w:sz="4" w:space="0"/>
              <w:left w:val="single" w:color="auto" w:sz="4" w:space="0"/>
              <w:bottom w:val="single" w:color="000000" w:sz="4" w:space="0"/>
              <w:right w:val="single" w:color="000000" w:sz="8" w:space="0"/>
            </w:tcBorders>
            <w:vAlign w:val="center"/>
          </w:tcPr>
          <w:p>
            <w:pPr>
              <w:pStyle w:val="233"/>
              <w:ind w:firstLine="0" w:firstLineChars="0"/>
              <w:jc w:val="center"/>
              <w:rPr>
                <w:sz w:val="18"/>
                <w:szCs w:val="18"/>
              </w:rPr>
            </w:pPr>
            <w:r>
              <w:rPr>
                <w:rFonts w:hint="eastAsia"/>
                <w:sz w:val="18"/>
                <w:szCs w:val="18"/>
              </w:rPr>
              <w:t>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1" w:hRule="atLeast"/>
          <w:jc w:val="center"/>
        </w:trPr>
        <w:tc>
          <w:tcPr>
            <w:tcW w:w="9372" w:type="dxa"/>
            <w:gridSpan w:val="6"/>
            <w:tcBorders>
              <w:top w:val="single" w:color="auto" w:sz="8" w:space="0"/>
              <w:left w:val="single" w:color="000000" w:sz="8" w:space="0"/>
              <w:bottom w:val="single" w:color="auto" w:sz="8" w:space="0"/>
              <w:right w:val="single" w:color="000000" w:sz="8" w:space="0"/>
            </w:tcBorders>
            <w:shd w:val="clear" w:color="auto" w:fill="auto"/>
            <w:vAlign w:val="center"/>
          </w:tcPr>
          <w:p>
            <w:pPr>
              <w:pStyle w:val="102"/>
              <w:rPr>
                <w:szCs w:val="18"/>
              </w:rPr>
            </w:pPr>
            <w:r>
              <w:rPr>
                <w:rFonts w:hint="eastAsia"/>
                <w:szCs w:val="18"/>
              </w:rPr>
              <w:t>果面缺陷二级果不超过2项，三级果不超过3项。</w:t>
            </w:r>
          </w:p>
        </w:tc>
      </w:tr>
    </w:tbl>
    <w:p>
      <w:pPr>
        <w:pStyle w:val="66"/>
        <w:spacing w:beforeLines="100" w:after="120"/>
      </w:pPr>
      <w:r>
        <w:rPr>
          <w:rFonts w:hint="eastAsia"/>
        </w:rPr>
        <w:t>理化指标</w:t>
      </w:r>
    </w:p>
    <w:p>
      <w:pPr>
        <w:pStyle w:val="233"/>
      </w:pPr>
      <w:r>
        <w:rPr>
          <w:rFonts w:hint="eastAsia"/>
        </w:rPr>
        <w:t>理化指标应符合表3的规定。</w:t>
      </w:r>
    </w:p>
    <w:p>
      <w:pPr>
        <w:pStyle w:val="233"/>
      </w:pPr>
    </w:p>
    <w:p>
      <w:pPr>
        <w:pStyle w:val="233"/>
        <w:rPr>
          <w:rFonts w:hint="eastAsia"/>
        </w:rPr>
      </w:pPr>
    </w:p>
    <w:p>
      <w:pPr>
        <w:pStyle w:val="233"/>
        <w:rPr>
          <w:rFonts w:hint="eastAsia"/>
        </w:rPr>
      </w:pPr>
    </w:p>
    <w:p>
      <w:pPr>
        <w:pStyle w:val="233"/>
        <w:rPr>
          <w:rFonts w:hint="eastAsia"/>
        </w:rPr>
      </w:pPr>
    </w:p>
    <w:p>
      <w:pPr>
        <w:pStyle w:val="233"/>
      </w:pPr>
    </w:p>
    <w:p>
      <w:pPr>
        <w:pStyle w:val="233"/>
      </w:pPr>
    </w:p>
    <w:p>
      <w:pPr>
        <w:pStyle w:val="235"/>
        <w:numPr>
          <w:ilvl w:val="0"/>
          <w:numId w:val="16"/>
        </w:numPr>
        <w:spacing w:before="120" w:after="120"/>
      </w:pPr>
      <w:r>
        <w:rPr>
          <w:rFonts w:hint="eastAsia"/>
        </w:rPr>
        <w:t>理化指标</w:t>
      </w:r>
      <w:bookmarkStart w:id="42" w:name="_GoBack"/>
      <w:bookmarkEnd w:id="42"/>
    </w:p>
    <w:tbl>
      <w:tblPr>
        <w:tblStyle w:val="27"/>
        <w:tblW w:w="9570" w:type="dxa"/>
        <w:jc w:val="center"/>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
      <w:tblGrid>
        <w:gridCol w:w="2944"/>
        <w:gridCol w:w="6626"/>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179" w:hRule="atLeast"/>
          <w:jc w:val="center"/>
        </w:trPr>
        <w:tc>
          <w:tcPr>
            <w:tcW w:w="2944" w:type="dxa"/>
            <w:tcBorders>
              <w:top w:val="single" w:color="auto" w:sz="8" w:space="0"/>
              <w:left w:val="single" w:color="auto" w:sz="8" w:space="0"/>
              <w:bottom w:val="single" w:color="auto" w:sz="8" w:space="0"/>
              <w:right w:val="single" w:color="000000" w:sz="4" w:space="0"/>
            </w:tcBorders>
            <w:shd w:val="clear" w:color="000000" w:fill="FFFFFF"/>
            <w:vAlign w:val="center"/>
          </w:tcPr>
          <w:p>
            <w:pPr>
              <w:jc w:val="center"/>
              <w:rPr>
                <w:rFonts w:ascii="宋体" w:hAnsi="宋体"/>
                <w:sz w:val="18"/>
                <w:szCs w:val="18"/>
              </w:rPr>
            </w:pPr>
            <w:r>
              <w:rPr>
                <w:rFonts w:hint="eastAsia" w:ascii="宋体" w:hAnsi="宋体"/>
                <w:sz w:val="18"/>
                <w:szCs w:val="18"/>
              </w:rPr>
              <w:t>项目</w:t>
            </w:r>
          </w:p>
        </w:tc>
        <w:tc>
          <w:tcPr>
            <w:tcW w:w="6626" w:type="dxa"/>
            <w:tcBorders>
              <w:top w:val="single" w:color="auto" w:sz="8" w:space="0"/>
              <w:left w:val="single" w:color="000000" w:sz="4" w:space="0"/>
              <w:bottom w:val="single" w:color="auto" w:sz="8" w:space="0"/>
              <w:right w:val="single" w:color="auto" w:sz="8" w:space="0"/>
            </w:tcBorders>
            <w:shd w:val="clear" w:color="000000" w:fill="FFFFFF"/>
          </w:tcPr>
          <w:p>
            <w:pPr>
              <w:jc w:val="center"/>
              <w:rPr>
                <w:rFonts w:ascii="宋体" w:hAnsi="宋体"/>
                <w:sz w:val="18"/>
                <w:szCs w:val="18"/>
                <w:highlight w:val="yellow"/>
              </w:rPr>
            </w:pPr>
            <w:r>
              <w:rPr>
                <w:rFonts w:hint="eastAsia" w:ascii="宋体" w:hAnsi="宋体"/>
                <w:sz w:val="18"/>
                <w:szCs w:val="18"/>
              </w:rPr>
              <w:t>指标</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1" w:hRule="atLeast"/>
          <w:jc w:val="center"/>
        </w:trPr>
        <w:tc>
          <w:tcPr>
            <w:tcW w:w="2944" w:type="dxa"/>
            <w:shd w:val="clear" w:color="000000" w:fill="FFFFFF"/>
          </w:tcPr>
          <w:p>
            <w:pPr>
              <w:autoSpaceDE w:val="0"/>
              <w:autoSpaceDN w:val="0"/>
              <w:jc w:val="center"/>
              <w:rPr>
                <w:rFonts w:ascii="宋体" w:hAnsi="宋体" w:cs="宋体"/>
                <w:kern w:val="0"/>
                <w:sz w:val="18"/>
                <w:szCs w:val="18"/>
              </w:rPr>
            </w:pPr>
            <w:r>
              <w:rPr>
                <w:rFonts w:hint="eastAsia" w:ascii="宋体" w:hAnsi="宋体" w:cs="宋体"/>
                <w:kern w:val="0"/>
                <w:sz w:val="18"/>
                <w:szCs w:val="18"/>
                <w:lang w:val="zh-CN"/>
              </w:rPr>
              <w:t>可溶性固形物</w:t>
            </w:r>
            <w:r>
              <w:rPr>
                <w:rFonts w:hint="eastAsia" w:ascii="宋体" w:hAnsi="宋体" w:cs="宋体"/>
                <w:kern w:val="0"/>
                <w:sz w:val="18"/>
                <w:szCs w:val="18"/>
              </w:rPr>
              <w:t>/（g/100</w:t>
            </w:r>
            <w:r>
              <w:rPr>
                <w:rFonts w:hint="eastAsia" w:ascii="宋体" w:hAnsi="宋体" w:cs="宋体"/>
                <w:kern w:val="0"/>
                <w:sz w:val="18"/>
                <w:szCs w:val="18"/>
                <w:vertAlign w:val="superscript"/>
              </w:rPr>
              <w:t xml:space="preserve"> </w:t>
            </w:r>
            <w:r>
              <w:rPr>
                <w:rFonts w:hint="eastAsia" w:ascii="宋体" w:hAnsi="宋体" w:cs="宋体"/>
                <w:kern w:val="0"/>
                <w:sz w:val="18"/>
                <w:szCs w:val="18"/>
              </w:rPr>
              <w:t xml:space="preserve">g）                              </w:t>
            </w:r>
          </w:p>
        </w:tc>
        <w:tc>
          <w:tcPr>
            <w:tcW w:w="6626" w:type="dxa"/>
            <w:tcBorders>
              <w:top w:val="single" w:color="auto" w:sz="8" w:space="0"/>
            </w:tcBorders>
            <w:shd w:val="clear" w:color="000000" w:fill="FFFFFF"/>
            <w:vAlign w:val="center"/>
          </w:tcPr>
          <w:p>
            <w:pPr>
              <w:autoSpaceDE w:val="0"/>
              <w:autoSpaceDN w:val="0"/>
              <w:jc w:val="center"/>
              <w:rPr>
                <w:rFonts w:ascii="宋体" w:hAnsi="宋体" w:cs="宋体"/>
                <w:kern w:val="0"/>
                <w:sz w:val="18"/>
                <w:szCs w:val="18"/>
              </w:rPr>
            </w:pPr>
            <w:r>
              <w:rPr>
                <w:rFonts w:hint="eastAsia" w:ascii="宋体" w:hAnsi="宋体" w:cs="宋体"/>
                <w:kern w:val="0"/>
                <w:sz w:val="18"/>
                <w:szCs w:val="18"/>
                <w:lang w:val="zh-CN"/>
              </w:rPr>
              <w:t>9.5</w:t>
            </w:r>
            <w:r>
              <w:rPr>
                <w:rFonts w:hint="eastAsia" w:ascii="宋体" w:hAnsi="宋体" w:cs="宋体"/>
                <w:kern w:val="0"/>
                <w:sz w:val="18"/>
                <w:szCs w:val="18"/>
              </w:rPr>
              <w:t>～12.5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1" w:hRule="atLeast"/>
          <w:jc w:val="center"/>
        </w:trPr>
        <w:tc>
          <w:tcPr>
            <w:tcW w:w="2944" w:type="dxa"/>
            <w:shd w:val="clear" w:color="000000" w:fill="FFFFFF"/>
          </w:tcPr>
          <w:p>
            <w:pPr>
              <w:autoSpaceDE w:val="0"/>
              <w:autoSpaceDN w:val="0"/>
              <w:jc w:val="center"/>
              <w:rPr>
                <w:rFonts w:ascii="宋体" w:hAnsi="宋体" w:cs="宋体"/>
                <w:kern w:val="0"/>
                <w:sz w:val="18"/>
                <w:szCs w:val="18"/>
                <w:lang w:val="zh-CN"/>
              </w:rPr>
            </w:pPr>
            <w:r>
              <w:rPr>
                <w:rFonts w:hint="eastAsia" w:ascii="宋体" w:hAnsi="宋体" w:cs="宋体"/>
                <w:kern w:val="0"/>
                <w:sz w:val="18"/>
                <w:szCs w:val="18"/>
                <w:lang w:val="zh-CN"/>
              </w:rPr>
              <w:t>总酸（以柠檬酸计）/（g/100</w:t>
            </w:r>
            <w:r>
              <w:rPr>
                <w:rFonts w:hint="eastAsia" w:ascii="宋体" w:hAnsi="宋体" w:cs="宋体"/>
                <w:kern w:val="0"/>
                <w:sz w:val="18"/>
                <w:szCs w:val="18"/>
                <w:vertAlign w:val="superscript"/>
                <w:lang w:val="zh-CN"/>
              </w:rPr>
              <w:t xml:space="preserve"> </w:t>
            </w:r>
            <w:r>
              <w:rPr>
                <w:rFonts w:hint="eastAsia" w:ascii="宋体" w:hAnsi="宋体" w:cs="宋体"/>
                <w:kern w:val="0"/>
                <w:sz w:val="18"/>
                <w:szCs w:val="18"/>
                <w:lang w:val="zh-CN"/>
              </w:rPr>
              <w:t xml:space="preserve">g）                         </w:t>
            </w:r>
            <w:r>
              <w:rPr>
                <w:rFonts w:hint="eastAsia" w:ascii="宋体" w:hAnsi="宋体" w:cs="宋体"/>
                <w:kern w:val="0"/>
                <w:sz w:val="18"/>
                <w:szCs w:val="18"/>
              </w:rPr>
              <w:t xml:space="preserve">  </w:t>
            </w:r>
          </w:p>
        </w:tc>
        <w:tc>
          <w:tcPr>
            <w:tcW w:w="6626" w:type="dxa"/>
            <w:shd w:val="clear" w:color="000000" w:fill="FFFFFF"/>
            <w:vAlign w:val="center"/>
          </w:tcPr>
          <w:p>
            <w:pPr>
              <w:autoSpaceDE w:val="0"/>
              <w:autoSpaceDN w:val="0"/>
              <w:jc w:val="center"/>
              <w:rPr>
                <w:rFonts w:ascii="宋体" w:hAnsi="宋体" w:cs="宋体"/>
                <w:kern w:val="0"/>
                <w:sz w:val="18"/>
                <w:szCs w:val="18"/>
              </w:rPr>
            </w:pPr>
            <w:r>
              <w:rPr>
                <w:rFonts w:hint="eastAsia" w:ascii="宋体" w:hAnsi="宋体" w:cs="宋体"/>
                <w:kern w:val="0"/>
                <w:sz w:val="18"/>
                <w:szCs w:val="18"/>
              </w:rPr>
              <w:t>1.2～1.6</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1" w:hRule="atLeast"/>
          <w:jc w:val="center"/>
        </w:trPr>
        <w:tc>
          <w:tcPr>
            <w:tcW w:w="2944" w:type="dxa"/>
            <w:shd w:val="clear" w:color="000000" w:fill="FFFFFF"/>
          </w:tcPr>
          <w:p>
            <w:pPr>
              <w:autoSpaceDE w:val="0"/>
              <w:autoSpaceDN w:val="0"/>
              <w:jc w:val="center"/>
              <w:rPr>
                <w:rFonts w:ascii="宋体" w:hAnsi="宋体" w:cs="宋体"/>
                <w:kern w:val="0"/>
                <w:sz w:val="18"/>
                <w:szCs w:val="18"/>
                <w:lang w:val="zh-CN"/>
              </w:rPr>
            </w:pPr>
            <w:r>
              <w:rPr>
                <w:rFonts w:hint="eastAsia" w:ascii="宋体" w:hAnsi="宋体" w:cs="宋体"/>
                <w:kern w:val="0"/>
                <w:sz w:val="18"/>
                <w:szCs w:val="18"/>
                <w:lang w:val="zh-CN"/>
              </w:rPr>
              <w:t>总糖/（g/100</w:t>
            </w:r>
            <w:r>
              <w:rPr>
                <w:rFonts w:hint="eastAsia" w:ascii="宋体" w:hAnsi="宋体" w:cs="宋体"/>
                <w:kern w:val="0"/>
                <w:sz w:val="18"/>
                <w:szCs w:val="18"/>
                <w:vertAlign w:val="superscript"/>
                <w:lang w:val="zh-CN"/>
              </w:rPr>
              <w:t xml:space="preserve"> </w:t>
            </w:r>
            <w:r>
              <w:rPr>
                <w:rFonts w:hint="eastAsia" w:ascii="宋体" w:hAnsi="宋体" w:cs="宋体"/>
                <w:kern w:val="0"/>
                <w:sz w:val="18"/>
                <w:szCs w:val="18"/>
                <w:lang w:val="zh-CN"/>
              </w:rPr>
              <w:t xml:space="preserve">g）                       </w:t>
            </w:r>
            <w:r>
              <w:rPr>
                <w:rFonts w:hint="eastAsia" w:ascii="宋体" w:hAnsi="宋体" w:cs="宋体"/>
                <w:kern w:val="0"/>
                <w:sz w:val="18"/>
                <w:szCs w:val="18"/>
              </w:rPr>
              <w:t xml:space="preserve"> </w:t>
            </w:r>
          </w:p>
        </w:tc>
        <w:tc>
          <w:tcPr>
            <w:tcW w:w="6626" w:type="dxa"/>
            <w:shd w:val="clear" w:color="000000" w:fill="FFFFFF"/>
            <w:vAlign w:val="center"/>
          </w:tcPr>
          <w:p>
            <w:pPr>
              <w:autoSpaceDE w:val="0"/>
              <w:autoSpaceDN w:val="0"/>
              <w:jc w:val="center"/>
              <w:rPr>
                <w:rFonts w:ascii="宋体" w:hAnsi="宋体" w:cs="宋体"/>
                <w:kern w:val="0"/>
                <w:sz w:val="18"/>
                <w:szCs w:val="18"/>
              </w:rPr>
            </w:pPr>
            <w:r>
              <w:rPr>
                <w:rFonts w:hint="eastAsia" w:ascii="宋体" w:hAnsi="宋体" w:cs="宋体"/>
                <w:kern w:val="0"/>
                <w:sz w:val="18"/>
                <w:szCs w:val="18"/>
              </w:rPr>
              <w:t>6.0～7.0</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1" w:hRule="atLeast"/>
          <w:jc w:val="center"/>
        </w:trPr>
        <w:tc>
          <w:tcPr>
            <w:tcW w:w="2944" w:type="dxa"/>
            <w:shd w:val="clear" w:color="000000" w:fill="FFFFFF"/>
          </w:tcPr>
          <w:p>
            <w:pPr>
              <w:autoSpaceDE w:val="0"/>
              <w:autoSpaceDN w:val="0"/>
              <w:jc w:val="center"/>
              <w:rPr>
                <w:rFonts w:ascii="宋体" w:hAnsi="宋体" w:cs="宋体"/>
                <w:kern w:val="0"/>
                <w:sz w:val="18"/>
                <w:szCs w:val="18"/>
                <w:lang w:val="zh-CN"/>
              </w:rPr>
            </w:pPr>
            <w:r>
              <w:rPr>
                <w:rFonts w:hint="eastAsia" w:ascii="宋体" w:hAnsi="宋体" w:cs="宋体"/>
                <w:kern w:val="0"/>
                <w:sz w:val="18"/>
                <w:szCs w:val="18"/>
                <w:lang w:val="zh-CN"/>
              </w:rPr>
              <w:t xml:space="preserve">     维生素C/（mg/100</w:t>
            </w:r>
            <w:r>
              <w:rPr>
                <w:rFonts w:hint="eastAsia" w:ascii="宋体" w:hAnsi="宋体" w:cs="宋体"/>
                <w:kern w:val="0"/>
                <w:sz w:val="18"/>
                <w:szCs w:val="18"/>
                <w:vertAlign w:val="superscript"/>
                <w:lang w:val="zh-CN"/>
              </w:rPr>
              <w:t xml:space="preserve"> </w:t>
            </w:r>
            <w:r>
              <w:rPr>
                <w:rFonts w:hint="eastAsia" w:ascii="宋体" w:hAnsi="宋体" w:cs="宋体"/>
                <w:kern w:val="0"/>
                <w:sz w:val="18"/>
                <w:szCs w:val="18"/>
                <w:lang w:val="zh-CN"/>
              </w:rPr>
              <w:t xml:space="preserve">g）     </w:t>
            </w:r>
            <w:r>
              <w:rPr>
                <w:rFonts w:hint="eastAsia" w:ascii="宋体" w:hAnsi="宋体" w:cs="宋体"/>
                <w:kern w:val="0"/>
                <w:sz w:val="18"/>
                <w:szCs w:val="18"/>
              </w:rPr>
              <w:t>≥</w:t>
            </w:r>
            <w:r>
              <w:rPr>
                <w:rFonts w:hint="eastAsia" w:ascii="宋体" w:hAnsi="宋体" w:cs="宋体"/>
                <w:kern w:val="0"/>
                <w:sz w:val="18"/>
                <w:szCs w:val="18"/>
                <w:lang w:val="zh-CN"/>
              </w:rPr>
              <w:t xml:space="preserve">                        </w:t>
            </w:r>
            <w:r>
              <w:rPr>
                <w:rFonts w:hint="eastAsia" w:ascii="宋体" w:hAnsi="宋体" w:cs="宋体"/>
                <w:kern w:val="0"/>
                <w:sz w:val="18"/>
                <w:szCs w:val="18"/>
              </w:rPr>
              <w:t xml:space="preserve">  </w:t>
            </w:r>
          </w:p>
        </w:tc>
        <w:tc>
          <w:tcPr>
            <w:tcW w:w="6626" w:type="dxa"/>
            <w:shd w:val="clear" w:color="000000" w:fill="FFFFFF"/>
            <w:vAlign w:val="center"/>
          </w:tcPr>
          <w:p>
            <w:pPr>
              <w:autoSpaceDE w:val="0"/>
              <w:autoSpaceDN w:val="0"/>
              <w:jc w:val="center"/>
              <w:rPr>
                <w:rFonts w:ascii="宋体" w:hAnsi="宋体" w:cs="宋体"/>
                <w:kern w:val="0"/>
                <w:sz w:val="18"/>
                <w:szCs w:val="18"/>
                <w:lang w:val="zh-CN"/>
              </w:rPr>
            </w:pPr>
            <w:r>
              <w:rPr>
                <w:rFonts w:hint="eastAsia" w:ascii="宋体" w:hAnsi="宋体" w:cs="宋体"/>
                <w:kern w:val="0"/>
                <w:sz w:val="18"/>
                <w:szCs w:val="18"/>
              </w:rPr>
              <w:t>16.0</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1" w:hRule="atLeast"/>
          <w:jc w:val="center"/>
        </w:trPr>
        <w:tc>
          <w:tcPr>
            <w:tcW w:w="2944" w:type="dxa"/>
            <w:shd w:val="clear" w:color="000000" w:fill="FFFFFF"/>
            <w:vAlign w:val="center"/>
          </w:tcPr>
          <w:p>
            <w:pPr>
              <w:jc w:val="center"/>
              <w:rPr>
                <w:rFonts w:ascii="宋体" w:hAnsi="宋体" w:cs="宋体"/>
                <w:kern w:val="0"/>
                <w:sz w:val="18"/>
                <w:szCs w:val="18"/>
                <w:lang w:val="zh-CN"/>
              </w:rPr>
            </w:pPr>
            <w:r>
              <w:rPr>
                <w:rFonts w:hint="eastAsia" w:ascii="宋体" w:hAnsi="宋体"/>
                <w:sz w:val="18"/>
                <w:szCs w:val="18"/>
              </w:rPr>
              <w:t>硒含量/（mg/kg）</w:t>
            </w:r>
          </w:p>
        </w:tc>
        <w:tc>
          <w:tcPr>
            <w:tcW w:w="6626" w:type="dxa"/>
            <w:shd w:val="clear" w:color="000000" w:fill="FFFFFF"/>
          </w:tcPr>
          <w:p>
            <w:pPr>
              <w:jc w:val="center"/>
              <w:rPr>
                <w:rFonts w:ascii="宋体" w:hAnsi="宋体" w:cs="宋体"/>
                <w:kern w:val="0"/>
                <w:sz w:val="18"/>
                <w:szCs w:val="18"/>
                <w:lang w:val="zh-CN"/>
              </w:rPr>
            </w:pPr>
            <w:r>
              <w:rPr>
                <w:rFonts w:hint="eastAsia" w:ascii="宋体" w:hAnsi="宋体"/>
                <w:sz w:val="18"/>
                <w:szCs w:val="18"/>
              </w:rPr>
              <w:t>0.01～0.05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1" w:hRule="atLeast"/>
          <w:jc w:val="center"/>
        </w:trPr>
        <w:tc>
          <w:tcPr>
            <w:tcW w:w="2944" w:type="dxa"/>
            <w:shd w:val="clear" w:color="000000" w:fill="FFFFFF"/>
            <w:vAlign w:val="center"/>
          </w:tcPr>
          <w:p>
            <w:pPr>
              <w:jc w:val="center"/>
              <w:rPr>
                <w:rFonts w:ascii="宋体" w:hAnsi="宋体"/>
                <w:sz w:val="18"/>
                <w:szCs w:val="18"/>
              </w:rPr>
            </w:pPr>
            <w:r>
              <w:rPr>
                <w:rFonts w:hint="eastAsia" w:ascii="宋体" w:hAnsi="宋体"/>
                <w:sz w:val="18"/>
                <w:szCs w:val="18"/>
              </w:rPr>
              <w:t xml:space="preserve">      可食率/（g/100</w:t>
            </w:r>
            <w:r>
              <w:rPr>
                <w:rFonts w:hint="eastAsia" w:ascii="宋体" w:hAnsi="宋体"/>
                <w:sz w:val="18"/>
                <w:szCs w:val="18"/>
                <w:vertAlign w:val="superscript"/>
              </w:rPr>
              <w:t xml:space="preserve"> </w:t>
            </w:r>
            <w:r>
              <w:rPr>
                <w:rFonts w:hint="eastAsia" w:ascii="宋体" w:hAnsi="宋体"/>
                <w:sz w:val="18"/>
                <w:szCs w:val="18"/>
              </w:rPr>
              <w:t xml:space="preserve">g）     </w:t>
            </w:r>
            <w:r>
              <w:rPr>
                <w:rFonts w:hint="eastAsia" w:ascii="宋体" w:hAnsi="宋体" w:cs="宋体"/>
                <w:kern w:val="0"/>
                <w:sz w:val="18"/>
                <w:szCs w:val="18"/>
                <w:lang w:val="zh-CN"/>
              </w:rPr>
              <w:t>≥</w:t>
            </w:r>
          </w:p>
        </w:tc>
        <w:tc>
          <w:tcPr>
            <w:tcW w:w="6626" w:type="dxa"/>
            <w:shd w:val="clear" w:color="000000" w:fill="FFFFFF"/>
          </w:tcPr>
          <w:p>
            <w:pPr>
              <w:jc w:val="center"/>
              <w:rPr>
                <w:rFonts w:ascii="宋体" w:hAnsi="宋体"/>
                <w:sz w:val="18"/>
                <w:szCs w:val="18"/>
              </w:rPr>
            </w:pPr>
            <w:r>
              <w:rPr>
                <w:rFonts w:hint="eastAsia" w:ascii="宋体" w:hAnsi="宋体"/>
                <w:sz w:val="18"/>
                <w:szCs w:val="18"/>
              </w:rPr>
              <w:t>96.0</w:t>
            </w:r>
          </w:p>
        </w:tc>
      </w:tr>
    </w:tbl>
    <w:p>
      <w:pPr>
        <w:pStyle w:val="66"/>
        <w:spacing w:beforeLines="100" w:after="120"/>
      </w:pPr>
      <w:r>
        <w:rPr>
          <w:rFonts w:hint="eastAsia"/>
        </w:rPr>
        <w:t>安全卫生指标</w:t>
      </w:r>
    </w:p>
    <w:p>
      <w:pPr>
        <w:pStyle w:val="57"/>
        <w:ind w:firstLine="420"/>
      </w:pPr>
      <w:r>
        <w:rPr>
          <w:rFonts w:hint="eastAsia"/>
        </w:rPr>
        <w:t>应符合</w:t>
      </w:r>
      <w:r>
        <w:t>GB 2762</w:t>
      </w:r>
      <w:r>
        <w:rPr>
          <w:rFonts w:hint="eastAsia"/>
        </w:rPr>
        <w:t>、</w:t>
      </w:r>
      <w:r>
        <w:t>GB 2763</w:t>
      </w:r>
      <w:r>
        <w:rPr>
          <w:rFonts w:hint="eastAsia"/>
        </w:rPr>
        <w:t>的规定。</w:t>
      </w:r>
    </w:p>
    <w:p>
      <w:pPr>
        <w:pStyle w:val="105"/>
        <w:spacing w:before="240" w:after="240"/>
      </w:pPr>
      <w:r>
        <w:rPr>
          <w:rFonts w:hint="eastAsia"/>
        </w:rPr>
        <w:t>检验方法</w:t>
      </w:r>
    </w:p>
    <w:p>
      <w:pPr>
        <w:pStyle w:val="106"/>
        <w:spacing w:before="120" w:after="120"/>
      </w:pPr>
      <w:r>
        <w:rPr>
          <w:rFonts w:hint="eastAsia"/>
        </w:rPr>
        <w:t>感官要求</w:t>
      </w:r>
    </w:p>
    <w:p>
      <w:pPr>
        <w:pStyle w:val="233"/>
      </w:pPr>
      <w:r>
        <w:rPr>
          <w:rFonts w:hint="eastAsia"/>
        </w:rPr>
        <w:t>果形、色泽、果面、果核、果面缺陷、用目测法检验；滋味用品尝法检验；横径用游标卡尺检测活折合成重量标准用案秤检测。</w:t>
      </w:r>
    </w:p>
    <w:p>
      <w:pPr>
        <w:pStyle w:val="106"/>
        <w:spacing w:before="120" w:after="120"/>
      </w:pPr>
      <w:r>
        <w:rPr>
          <w:rFonts w:hint="eastAsia"/>
        </w:rPr>
        <w:t>理化指标</w:t>
      </w:r>
    </w:p>
    <w:p>
      <w:pPr>
        <w:pStyle w:val="66"/>
        <w:spacing w:before="120" w:after="120"/>
      </w:pPr>
      <w:r>
        <w:rPr>
          <w:rFonts w:hint="eastAsia"/>
        </w:rPr>
        <w:t>可溶性固形物</w:t>
      </w:r>
    </w:p>
    <w:p>
      <w:pPr>
        <w:pStyle w:val="233"/>
      </w:pPr>
      <w:r>
        <w:rPr>
          <w:rFonts w:hint="eastAsia"/>
        </w:rPr>
        <w:t>按</w:t>
      </w:r>
      <w:r>
        <w:t>NY/T 263</w:t>
      </w:r>
      <w:r>
        <w:rPr>
          <w:rFonts w:hint="eastAsia"/>
        </w:rPr>
        <w:t>7的规定执行。</w:t>
      </w:r>
    </w:p>
    <w:p>
      <w:pPr>
        <w:pStyle w:val="66"/>
        <w:spacing w:before="120" w:after="120"/>
      </w:pPr>
      <w:r>
        <w:rPr>
          <w:rFonts w:hint="eastAsia"/>
        </w:rPr>
        <w:t>总酸</w:t>
      </w:r>
    </w:p>
    <w:p>
      <w:pPr>
        <w:pStyle w:val="233"/>
      </w:pPr>
      <w:r>
        <w:rPr>
          <w:rFonts w:hint="eastAsia"/>
        </w:rPr>
        <w:t>按GB/T 12456的规定执行。</w:t>
      </w:r>
    </w:p>
    <w:p>
      <w:pPr>
        <w:pStyle w:val="66"/>
        <w:spacing w:before="120" w:after="120"/>
      </w:pPr>
      <w:r>
        <w:rPr>
          <w:rFonts w:hint="eastAsia"/>
        </w:rPr>
        <w:t>总糖</w:t>
      </w:r>
    </w:p>
    <w:p>
      <w:pPr>
        <w:pStyle w:val="233"/>
      </w:pPr>
      <w:r>
        <w:rPr>
          <w:rFonts w:hint="eastAsia"/>
        </w:rPr>
        <w:t>按GB 5009.8的规定执行。</w:t>
      </w:r>
    </w:p>
    <w:p>
      <w:pPr>
        <w:pStyle w:val="66"/>
        <w:spacing w:before="120" w:after="120"/>
      </w:pPr>
      <w:r>
        <w:rPr>
          <w:rFonts w:hint="eastAsia"/>
        </w:rPr>
        <w:t>维生素C</w:t>
      </w:r>
    </w:p>
    <w:p>
      <w:pPr>
        <w:pStyle w:val="233"/>
      </w:pPr>
      <w:r>
        <w:rPr>
          <w:rFonts w:hint="eastAsia"/>
        </w:rPr>
        <w:t>按</w:t>
      </w:r>
      <w:r>
        <w:t>GB 5009.86</w:t>
      </w:r>
      <w:r>
        <w:rPr>
          <w:rFonts w:hint="eastAsia"/>
        </w:rPr>
        <w:t>的规定执行。</w:t>
      </w:r>
    </w:p>
    <w:p>
      <w:pPr>
        <w:pStyle w:val="66"/>
        <w:spacing w:before="120" w:after="120"/>
      </w:pPr>
      <w:r>
        <w:rPr>
          <w:rFonts w:hint="eastAsia"/>
        </w:rPr>
        <w:t>硒含量</w:t>
      </w:r>
    </w:p>
    <w:p>
      <w:pPr>
        <w:pStyle w:val="233"/>
      </w:pPr>
      <w:r>
        <w:rPr>
          <w:rFonts w:hint="eastAsia"/>
        </w:rPr>
        <w:t>按GB 5009.93的规定执行。</w:t>
      </w:r>
    </w:p>
    <w:p>
      <w:pPr>
        <w:pStyle w:val="66"/>
        <w:spacing w:before="120" w:after="120"/>
      </w:pPr>
      <w:r>
        <w:rPr>
          <w:rFonts w:hint="eastAsia"/>
        </w:rPr>
        <w:t>可食率</w:t>
      </w:r>
    </w:p>
    <w:p>
      <w:pPr>
        <w:pStyle w:val="233"/>
      </w:pPr>
      <w:r>
        <w:rPr>
          <w:rFonts w:hint="eastAsia"/>
        </w:rPr>
        <w:t>果肉和果实重之比，按照公式(1)进行计算：</w:t>
      </w:r>
    </w:p>
    <w:p>
      <w:pPr>
        <w:pStyle w:val="114"/>
      </w:pPr>
      <w:r>
        <w:tab/>
      </w:r>
      <m:oMath>
        <m:r>
          <m:rPr>
            <m:sty m:val="p"/>
          </m:rPr>
          <w:rPr>
            <w:rFonts w:ascii="Cambria Math" w:hAnsi="Cambria Math"/>
          </w:rPr>
          <m:t>E=</m:t>
        </m:r>
        <m:f>
          <m:fPr>
            <m:ctrlPr>
              <w:rPr>
                <w:rFonts w:ascii="Cambria Math" w:hAnsi="Cambria Math"/>
              </w:rPr>
            </m:ctrlPr>
          </m:fPr>
          <m:num>
            <m:r>
              <m:rPr>
                <m:sty m:val="p"/>
              </m:rPr>
              <w:rPr>
                <w:rFonts w:ascii="Cambria Math" w:hAnsi="Cambria Math"/>
              </w:rPr>
              <m:t>C</m:t>
            </m:r>
            <m:ctrlPr>
              <w:rPr>
                <w:rFonts w:ascii="Cambria Math" w:hAnsi="Cambria Math"/>
              </w:rPr>
            </m:ctrlPr>
          </m:num>
          <m:den>
            <m:r>
              <m:rPr>
                <m:sty m:val="p"/>
              </m:rPr>
              <w:rPr>
                <w:rFonts w:ascii="Cambria Math" w:hAnsi="Cambria Math"/>
              </w:rPr>
              <m:t>D</m:t>
            </m:r>
            <m:ctrlPr>
              <w:rPr>
                <w:rFonts w:ascii="Cambria Math" w:hAnsi="Cambria Math"/>
              </w:rPr>
            </m:ctrlPr>
          </m:den>
        </m:f>
        <m:r>
          <m:rPr>
            <m:sty m:val="p"/>
          </m:rPr>
          <w:rPr>
            <w:rFonts w:ascii="Cambria Math" w:hAnsi="Cambria Math"/>
          </w:rPr>
          <m:t>×100</m:t>
        </m:r>
        <m:r>
          <m:rPr>
            <m:sty m:val="p"/>
          </m:rPr>
          <w:rPr>
            <w:rFonts w:hint="eastAsia" w:ascii="Cambria Math" w:hAnsi="Cambria Math"/>
          </w:rPr>
          <m:t>％</m:t>
        </m:r>
      </m:oMath>
      <w:r>
        <w:rPr>
          <w:rFonts w:ascii="微软雅黑" w:hAnsi="微软雅黑" w:eastAsia="微软雅黑"/>
        </w:rPr>
        <w:tab/>
      </w:r>
      <w:r>
        <w:t>(</w:t>
      </w:r>
      <w:r>
        <w:fldChar w:fldCharType="begin"/>
      </w:r>
      <w:r>
        <w:instrText xml:space="preserve"> AUTONUM </w:instrText>
      </w:r>
      <w:r>
        <w:fldChar w:fldCharType="end"/>
      </w:r>
      <w:r>
        <w:t>)</w:t>
      </w:r>
    </w:p>
    <w:p>
      <w:pPr>
        <w:pStyle w:val="56"/>
        <w:ind w:firstLine="420"/>
      </w:pPr>
      <w:r>
        <w:rPr>
          <w:rFonts w:hint="eastAsia"/>
        </w:rPr>
        <w:t>式中：</w:t>
      </w:r>
      <w:r>
        <w:tab/>
      </w:r>
    </w:p>
    <w:p>
      <w:pPr>
        <w:pStyle w:val="233"/>
      </w:pPr>
      <w:r>
        <w:rPr>
          <w:rFonts w:hint="eastAsia"/>
          <w:i/>
        </w:rPr>
        <w:t>E</w:t>
      </w:r>
      <w:r>
        <w:rPr>
          <w:rFonts w:hint="eastAsia" w:hAnsi="宋体"/>
        </w:rPr>
        <w:t>——</w:t>
      </w:r>
      <w:r>
        <w:rPr>
          <w:rFonts w:hint="eastAsia"/>
        </w:rPr>
        <w:t>可食率，</w:t>
      </w:r>
      <w:r>
        <w:rPr>
          <w:rFonts w:hint="eastAsia" w:hAnsi="宋体"/>
        </w:rPr>
        <w:t>％</w:t>
      </w:r>
      <w:r>
        <w:rPr>
          <w:rFonts w:hint="eastAsia"/>
        </w:rPr>
        <w:t>；</w:t>
      </w:r>
    </w:p>
    <w:p>
      <w:pPr>
        <w:pStyle w:val="233"/>
      </w:pPr>
      <w:r>
        <w:rPr>
          <w:rFonts w:hint="eastAsia"/>
          <w:i/>
        </w:rPr>
        <w:t>C</w:t>
      </w:r>
      <w:r>
        <w:rPr>
          <w:rFonts w:hint="eastAsia"/>
        </w:rPr>
        <w:t>——平均单果重与平均果核重之差，单位为克（g）；</w:t>
      </w:r>
    </w:p>
    <w:p>
      <w:pPr>
        <w:pStyle w:val="233"/>
      </w:pPr>
      <w:r>
        <w:rPr>
          <w:rFonts w:hint="eastAsia"/>
          <w:i/>
        </w:rPr>
        <w:t>D</w:t>
      </w:r>
      <w:r>
        <w:rPr>
          <w:rFonts w:hint="eastAsia"/>
        </w:rPr>
        <w:t>——平均单果重，单位为克（g）。</w:t>
      </w:r>
    </w:p>
    <w:p>
      <w:pPr>
        <w:pStyle w:val="106"/>
        <w:spacing w:before="120" w:after="120"/>
      </w:pPr>
      <w:r>
        <w:rPr>
          <w:rFonts w:hint="eastAsia"/>
        </w:rPr>
        <w:t>安全卫生指标</w:t>
      </w:r>
    </w:p>
    <w:p>
      <w:pPr>
        <w:pStyle w:val="57"/>
        <w:ind w:firstLine="420"/>
        <w:rPr>
          <w:rFonts w:ascii="黑体" w:hAnsi="黑体" w:eastAsia="黑体"/>
        </w:rPr>
      </w:pPr>
      <w:r>
        <w:rPr>
          <w:rFonts w:hint="eastAsia"/>
        </w:rPr>
        <w:t>污染物限量指标按GB 2762的规定执行；农药最大残留限量指标按GB 2763的规定执行。</w:t>
      </w:r>
    </w:p>
    <w:p>
      <w:pPr>
        <w:pStyle w:val="105"/>
        <w:spacing w:before="240" w:after="240"/>
      </w:pPr>
      <w:r>
        <w:rPr>
          <w:rFonts w:hint="eastAsia"/>
        </w:rPr>
        <w:t>检验规则</w:t>
      </w:r>
    </w:p>
    <w:p>
      <w:pPr>
        <w:pStyle w:val="106"/>
        <w:spacing w:before="120" w:after="120"/>
      </w:pPr>
      <w:r>
        <w:rPr>
          <w:rFonts w:hint="eastAsia"/>
        </w:rPr>
        <w:t>组批</w:t>
      </w:r>
    </w:p>
    <w:p>
      <w:pPr>
        <w:pStyle w:val="233"/>
      </w:pPr>
      <w:r>
        <w:rPr>
          <w:rFonts w:hint="eastAsia"/>
        </w:rPr>
        <w:t>同一批采收、同一包装、同一日期交货的产品作为一个检验批次。</w:t>
      </w:r>
    </w:p>
    <w:p>
      <w:pPr>
        <w:pStyle w:val="106"/>
        <w:spacing w:before="120" w:after="120"/>
      </w:pPr>
      <w:r>
        <w:rPr>
          <w:rFonts w:hint="eastAsia"/>
        </w:rPr>
        <w:t>抽样</w:t>
      </w:r>
    </w:p>
    <w:p>
      <w:pPr>
        <w:pStyle w:val="233"/>
      </w:pPr>
      <w:r>
        <w:rPr>
          <w:rFonts w:hint="eastAsia"/>
        </w:rPr>
        <w:t>按NY/T 5344.4的规定执行。</w:t>
      </w:r>
    </w:p>
    <w:p>
      <w:pPr>
        <w:pStyle w:val="106"/>
        <w:spacing w:before="120" w:after="120"/>
      </w:pPr>
      <w:r>
        <w:rPr>
          <w:rFonts w:hint="eastAsia"/>
        </w:rPr>
        <w:t>质量容许度</w:t>
      </w:r>
    </w:p>
    <w:p>
      <w:pPr>
        <w:pStyle w:val="66"/>
        <w:spacing w:before="120" w:after="120"/>
      </w:pPr>
      <w:r>
        <w:rPr>
          <w:rFonts w:hint="eastAsia"/>
        </w:rPr>
        <w:t>基本要求</w:t>
      </w:r>
    </w:p>
    <w:p>
      <w:pPr>
        <w:pStyle w:val="165"/>
      </w:pPr>
      <w:r>
        <w:rPr>
          <w:rFonts w:hint="eastAsia"/>
        </w:rPr>
        <w:t>各等级容许度允许的串等果，应是邻级果。不应有明显腐烂、严重碰压伤、重度裂口未愈合的果实包括在容许度内。</w:t>
      </w:r>
    </w:p>
    <w:p>
      <w:pPr>
        <w:pStyle w:val="165"/>
        <w:rPr>
          <w:rFonts w:hAnsi="宋体"/>
        </w:rPr>
      </w:pPr>
      <w:r>
        <w:rPr>
          <w:rFonts w:hint="eastAsia" w:hAnsi="宋体"/>
        </w:rPr>
        <w:t>容许度的测定以全部抽检包装件的平均数计算。</w:t>
      </w:r>
    </w:p>
    <w:p>
      <w:pPr>
        <w:pStyle w:val="165"/>
        <w:rPr>
          <w:rFonts w:hAnsi="宋体"/>
        </w:rPr>
      </w:pPr>
      <w:r>
        <w:rPr>
          <w:rFonts w:hint="eastAsia" w:hAnsi="宋体"/>
        </w:rPr>
        <w:t>容许度规定允许的果梗受损果其果梗损伤不应伤及果皮。</w:t>
      </w:r>
    </w:p>
    <w:p>
      <w:pPr>
        <w:pStyle w:val="165"/>
        <w:rPr>
          <w:rFonts w:hAnsi="宋体"/>
        </w:rPr>
      </w:pPr>
      <w:r>
        <w:rPr>
          <w:rFonts w:hint="eastAsia" w:hAnsi="宋体"/>
        </w:rPr>
        <w:t>容许度规定的百分率宜以重量为基准计算，如包装上标有果个数，则应以果个数为基准计算。</w:t>
      </w:r>
    </w:p>
    <w:p>
      <w:pPr>
        <w:pStyle w:val="66"/>
        <w:spacing w:before="120" w:after="120"/>
      </w:pPr>
      <w:r>
        <w:rPr>
          <w:rFonts w:hint="eastAsia"/>
        </w:rPr>
        <w:t>验收要求</w:t>
      </w:r>
    </w:p>
    <w:p>
      <w:pPr>
        <w:pStyle w:val="165"/>
      </w:pPr>
      <w:r>
        <w:rPr>
          <w:rFonts w:hint="eastAsia"/>
        </w:rPr>
        <w:t>特级应≤1％的一级果。</w:t>
      </w:r>
    </w:p>
    <w:p>
      <w:pPr>
        <w:pStyle w:val="165"/>
      </w:pPr>
      <w:r>
        <w:rPr>
          <w:rFonts w:hint="eastAsia"/>
        </w:rPr>
        <w:t>一级应≤3％的果实不符合本等级规定的品质要求，其中串等果不超过1％ ，损伤果≤1％，虫伤果≤1％。</w:t>
      </w:r>
    </w:p>
    <w:p>
      <w:pPr>
        <w:pStyle w:val="165"/>
      </w:pPr>
      <w:r>
        <w:rPr>
          <w:rFonts w:hint="eastAsia"/>
        </w:rPr>
        <w:t>二级果应≤7％的果实不符合本等级规定的品质要求，其中串等果≤4％，损伤果≤2％ ，虫伤果≤2％。</w:t>
      </w:r>
    </w:p>
    <w:p>
      <w:pPr>
        <w:pStyle w:val="165"/>
      </w:pPr>
      <w:r>
        <w:rPr>
          <w:rFonts w:hint="eastAsia"/>
        </w:rPr>
        <w:t>整批李果外观大小基本一致。</w:t>
      </w:r>
    </w:p>
    <w:p>
      <w:pPr>
        <w:pStyle w:val="165"/>
      </w:pPr>
      <w:r>
        <w:rPr>
          <w:rFonts w:hint="eastAsia"/>
        </w:rPr>
        <w:t>经贮藏的三花李，各等级应≤3％的不影响外观的生理性病害果，且不超过果面缺陷的规定限额。</w:t>
      </w:r>
    </w:p>
    <w:p>
      <w:pPr>
        <w:pStyle w:val="165"/>
      </w:pPr>
      <w:r>
        <w:rPr>
          <w:rFonts w:hint="eastAsia"/>
        </w:rPr>
        <w:t>在整批李果满足该等级规定容许度的前提下，单个包装件的容许度不应超过规定容许度的1.5倍。</w:t>
      </w:r>
    </w:p>
    <w:p>
      <w:pPr>
        <w:pStyle w:val="106"/>
        <w:spacing w:before="120" w:after="120"/>
      </w:pPr>
      <w:r>
        <w:rPr>
          <w:rFonts w:hint="eastAsia"/>
        </w:rPr>
        <w:t>交收检验</w:t>
      </w:r>
    </w:p>
    <w:p>
      <w:pPr>
        <w:pStyle w:val="233"/>
      </w:pPr>
      <w:r>
        <w:rPr>
          <w:rFonts w:hint="eastAsia"/>
        </w:rPr>
        <w:t>每批产品交收前，应进行交收检验。交收检验项目为：感官要求，检验合格方可交收。</w:t>
      </w:r>
    </w:p>
    <w:p>
      <w:pPr>
        <w:pStyle w:val="106"/>
        <w:spacing w:before="120" w:after="120"/>
      </w:pPr>
      <w:r>
        <w:rPr>
          <w:rFonts w:hint="eastAsia"/>
        </w:rPr>
        <w:t>判定规则</w:t>
      </w:r>
    </w:p>
    <w:p>
      <w:pPr>
        <w:pStyle w:val="166"/>
      </w:pPr>
      <w:r>
        <w:rPr>
          <w:rFonts w:hint="eastAsia"/>
        </w:rPr>
        <w:t>检验项目全部符合本文件时，判定该批次产品合格。</w:t>
      </w:r>
    </w:p>
    <w:p>
      <w:pPr>
        <w:pStyle w:val="166"/>
      </w:pPr>
      <w:r>
        <w:rPr>
          <w:rFonts w:hint="eastAsia"/>
        </w:rPr>
        <w:t>检验项目中有不符合本文件规定时，允许按相关规定进行复检。复检结果全部符合本文件规定时，判定该批次产品为合格；如果复检结果仍有不符合本文件规定时，判定该批次产品为不合格。</w:t>
      </w:r>
    </w:p>
    <w:p>
      <w:pPr>
        <w:pStyle w:val="105"/>
        <w:spacing w:before="240" w:after="240"/>
      </w:pPr>
      <w:r>
        <w:rPr>
          <w:rFonts w:hint="eastAsia"/>
        </w:rPr>
        <w:t>标志、标签、包装、运输和贮存</w:t>
      </w:r>
    </w:p>
    <w:p>
      <w:pPr>
        <w:pStyle w:val="106"/>
        <w:spacing w:before="120" w:after="120"/>
      </w:pPr>
      <w:r>
        <w:rPr>
          <w:rFonts w:hint="eastAsia"/>
        </w:rPr>
        <w:t>标志、标签</w:t>
      </w:r>
    </w:p>
    <w:p>
      <w:pPr>
        <w:pStyle w:val="166"/>
      </w:pPr>
      <w:r>
        <w:rPr>
          <w:rFonts w:hint="eastAsia"/>
        </w:rPr>
        <w:t>运输包装图形标志应符合 GB/T 191的规定。</w:t>
      </w:r>
    </w:p>
    <w:p>
      <w:pPr>
        <w:pStyle w:val="166"/>
      </w:pPr>
      <w:r>
        <w:rPr>
          <w:rFonts w:hint="eastAsia"/>
        </w:rPr>
        <w:t>产品销售包装标签应符合GB 7718的规定。</w:t>
      </w:r>
    </w:p>
    <w:p>
      <w:pPr>
        <w:pStyle w:val="106"/>
        <w:spacing w:before="120" w:after="120"/>
      </w:pPr>
      <w:r>
        <w:rPr>
          <w:rFonts w:hint="eastAsia"/>
        </w:rPr>
        <w:t>包装</w:t>
      </w:r>
    </w:p>
    <w:p>
      <w:pPr>
        <w:pStyle w:val="66"/>
        <w:spacing w:before="120" w:after="120"/>
      </w:pPr>
      <w:r>
        <w:rPr>
          <w:rFonts w:hint="eastAsia"/>
        </w:rPr>
        <w:t>包装容器</w:t>
      </w:r>
    </w:p>
    <w:p>
      <w:pPr>
        <w:pStyle w:val="57"/>
        <w:ind w:firstLine="420"/>
      </w:pPr>
      <w:r>
        <w:rPr>
          <w:rFonts w:hint="eastAsia"/>
        </w:rPr>
        <w:t>采用瓦楞纸箱、竹筐等，所有容器应坚固洁净，内壁平滑。</w:t>
      </w:r>
    </w:p>
    <w:p>
      <w:pPr>
        <w:pStyle w:val="66"/>
        <w:spacing w:before="120" w:after="120"/>
      </w:pPr>
      <w:r>
        <w:rPr>
          <w:rFonts w:hint="eastAsia"/>
        </w:rPr>
        <w:t>包装规格</w:t>
      </w:r>
    </w:p>
    <w:p>
      <w:pPr>
        <w:pStyle w:val="95"/>
        <w:spacing w:before="120" w:after="120"/>
      </w:pPr>
      <w:r>
        <w:rPr>
          <w:rFonts w:hint="eastAsia"/>
        </w:rPr>
        <w:t>瓦楞纸箱</w:t>
      </w:r>
    </w:p>
    <w:p>
      <w:pPr>
        <w:pStyle w:val="57"/>
        <w:ind w:firstLine="420"/>
      </w:pPr>
      <w:r>
        <w:rPr>
          <w:rFonts w:hint="eastAsia"/>
        </w:rPr>
        <w:t>箱的侧面应有通气孔，其他应符合GB/T 6543的规定。</w:t>
      </w:r>
    </w:p>
    <w:p>
      <w:pPr>
        <w:pStyle w:val="95"/>
        <w:spacing w:before="120" w:after="120"/>
      </w:pPr>
      <w:r>
        <w:rPr>
          <w:rFonts w:hint="eastAsia"/>
        </w:rPr>
        <w:t>竹筐</w:t>
      </w:r>
    </w:p>
    <w:p>
      <w:pPr>
        <w:pStyle w:val="57"/>
        <w:ind w:firstLine="420"/>
      </w:pPr>
      <w:r>
        <w:rPr>
          <w:rFonts w:hint="eastAsia"/>
        </w:rPr>
        <w:t>内壁应衬垫洁净厚纸。</w:t>
      </w:r>
    </w:p>
    <w:p>
      <w:pPr>
        <w:pStyle w:val="106"/>
        <w:spacing w:before="120" w:after="120"/>
      </w:pPr>
      <w:r>
        <w:rPr>
          <w:rFonts w:hint="eastAsia"/>
        </w:rPr>
        <w:t>运输</w:t>
      </w:r>
    </w:p>
    <w:p>
      <w:pPr>
        <w:pStyle w:val="166"/>
      </w:pPr>
      <w:r>
        <w:rPr>
          <w:rFonts w:hint="eastAsia"/>
        </w:rPr>
        <w:t>采果后应在2</w:t>
      </w:r>
      <w:r>
        <w:rPr>
          <w:rFonts w:hint="eastAsia"/>
          <w:vertAlign w:val="superscript"/>
        </w:rPr>
        <w:t xml:space="preserve"> </w:t>
      </w:r>
      <w:r>
        <w:rPr>
          <w:rFonts w:hint="eastAsia"/>
        </w:rPr>
        <w:t>h内运送至冷库预冷，或分级装箱后转入冷库预冷待运；也可在装箱时在包装容器内放入冰袋、冰瓶待运。</w:t>
      </w:r>
    </w:p>
    <w:p>
      <w:pPr>
        <w:pStyle w:val="166"/>
      </w:pPr>
      <w:r>
        <w:rPr>
          <w:rFonts w:hint="eastAsia"/>
        </w:rPr>
        <w:t>宜采用冷链运输，运输应快捷、透气、防潮、避免日晒雨淋，不应与有毒有害物品混合运输。装卸时应轻拿轻放，堆码层数不应超过果箱承载能力。</w:t>
      </w:r>
    </w:p>
    <w:p>
      <w:pPr>
        <w:pStyle w:val="106"/>
        <w:spacing w:before="120" w:after="120"/>
      </w:pPr>
      <w:r>
        <w:rPr>
          <w:rFonts w:hint="eastAsia"/>
        </w:rPr>
        <w:t>贮存</w:t>
      </w:r>
    </w:p>
    <w:p>
      <w:pPr>
        <w:pStyle w:val="166"/>
      </w:pPr>
      <w:r>
        <w:rPr>
          <w:rFonts w:hint="eastAsia"/>
        </w:rPr>
        <w:t>常温贮存库房应选择阴凉干燥、清洁、无异味、通风良好的场地，不应露天存放，果实不应直接着地，避免挤压，不应与有毒、有害和易于传播病虫的物品同处贮存。</w:t>
      </w:r>
    </w:p>
    <w:p>
      <w:pPr>
        <w:pStyle w:val="166"/>
      </w:pPr>
      <w:r>
        <w:rPr>
          <w:rFonts w:hint="eastAsia"/>
        </w:rPr>
        <w:t>经预冷温度达到4</w:t>
      </w:r>
      <w:r>
        <w:rPr>
          <w:rFonts w:hint="eastAsia"/>
          <w:vertAlign w:val="superscript"/>
        </w:rPr>
        <w:t xml:space="preserve"> </w:t>
      </w:r>
      <w:r>
        <w:rPr>
          <w:rFonts w:hint="eastAsia"/>
        </w:rPr>
        <w:t>℃后，保持库内温度1</w:t>
      </w:r>
      <w:r>
        <w:rPr>
          <w:rFonts w:hint="eastAsia"/>
          <w:vertAlign w:val="superscript"/>
        </w:rPr>
        <w:t xml:space="preserve"> </w:t>
      </w:r>
      <w:r>
        <w:rPr>
          <w:rFonts w:hint="eastAsia"/>
        </w:rPr>
        <w:t>℃～4</w:t>
      </w:r>
      <w:r>
        <w:rPr>
          <w:rFonts w:hint="eastAsia"/>
          <w:vertAlign w:val="superscript"/>
        </w:rPr>
        <w:t xml:space="preserve"> </w:t>
      </w:r>
      <w:r>
        <w:rPr>
          <w:rFonts w:hint="eastAsia"/>
        </w:rPr>
        <w:t>℃、相对湿度85</w:t>
      </w:r>
      <w:r>
        <w:rPr>
          <w:rFonts w:hint="eastAsia" w:hAnsi="宋体"/>
        </w:rPr>
        <w:t>％</w:t>
      </w:r>
      <w:r>
        <w:rPr>
          <w:rFonts w:hint="eastAsia"/>
        </w:rPr>
        <w:t>～95</w:t>
      </w:r>
      <w:r>
        <w:rPr>
          <w:rFonts w:hint="eastAsia" w:hAnsi="宋体"/>
        </w:rPr>
        <w:t>％</w:t>
      </w:r>
      <w:r>
        <w:rPr>
          <w:rFonts w:hint="eastAsia"/>
        </w:rPr>
        <w:t>。</w:t>
      </w:r>
    </w:p>
    <w:p>
      <w:pPr>
        <w:pStyle w:val="166"/>
        <w:numPr>
          <w:ilvl w:val="0"/>
          <w:numId w:val="0"/>
        </w:numPr>
      </w:pPr>
    </w:p>
    <w:p>
      <w:pPr>
        <w:pStyle w:val="166"/>
        <w:numPr>
          <w:ilvl w:val="0"/>
          <w:numId w:val="0"/>
        </w:numPr>
        <w:sectPr>
          <w:pgSz w:w="11906" w:h="16838"/>
          <w:pgMar w:top="567" w:right="1134" w:bottom="1134" w:left="1134" w:header="1418" w:footer="1134" w:gutter="284"/>
          <w:pgNumType w:start="1"/>
          <w:cols w:space="425" w:num="1"/>
          <w:formProt w:val="0"/>
          <w:docGrid w:linePitch="312" w:charSpace="0"/>
        </w:sectPr>
      </w:pPr>
    </w:p>
    <w:bookmarkEnd w:id="21"/>
    <w:p>
      <w:pPr>
        <w:pStyle w:val="199"/>
        <w:rPr>
          <w:vanish w:val="0"/>
        </w:rPr>
      </w:pPr>
      <w:bookmarkStart w:id="40" w:name="BookMark5"/>
    </w:p>
    <w:p>
      <w:pPr>
        <w:pStyle w:val="200"/>
        <w:rPr>
          <w:vanish w:val="0"/>
        </w:rPr>
      </w:pPr>
    </w:p>
    <w:p>
      <w:pPr>
        <w:pStyle w:val="77"/>
        <w:spacing w:before="60" w:after="120"/>
      </w:pPr>
      <w:r>
        <w:br w:type="textWrapping"/>
      </w:r>
      <w:r>
        <w:rPr>
          <w:rFonts w:hint="eastAsia"/>
        </w:rPr>
        <w:t>（规范性）</w:t>
      </w:r>
      <w:r>
        <w:br w:type="textWrapping"/>
      </w:r>
      <w:r>
        <w:rPr>
          <w:rFonts w:hint="eastAsia"/>
        </w:rPr>
        <w:t xml:space="preserve"> 地理标志农产品八步三华李保护范围图</w:t>
      </w:r>
    </w:p>
    <w:p>
      <w:pPr>
        <w:pStyle w:val="57"/>
        <w:ind w:firstLine="420"/>
      </w:pPr>
      <w:r>
        <w:rPr>
          <w:rFonts w:hint="eastAsia"/>
        </w:rPr>
        <w:t>地理标志农产品八步三华李保护范围图见图A.1。</w:t>
      </w:r>
    </w:p>
    <w:p>
      <w:pPr>
        <w:pStyle w:val="57"/>
        <w:ind w:firstLine="420"/>
        <w:jc w:val="center"/>
      </w:pPr>
      <w:r>
        <w:drawing>
          <wp:inline distT="0" distB="0" distL="0" distR="0">
            <wp:extent cx="5104765" cy="6776085"/>
            <wp:effectExtent l="0" t="0" r="0" b="0"/>
            <wp:docPr id="5" name="图片 5" descr="C:\Users\ADMINI~1\AppData\Local\Temp\ksohtml430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ksohtml4308\wps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08333" cy="6781173"/>
                    </a:xfrm>
                    <a:prstGeom prst="rect">
                      <a:avLst/>
                    </a:prstGeom>
                    <a:noFill/>
                    <a:ln>
                      <a:noFill/>
                    </a:ln>
                  </pic:spPr>
                </pic:pic>
              </a:graphicData>
            </a:graphic>
          </wp:inline>
        </w:drawing>
      </w:r>
    </w:p>
    <w:p>
      <w:pPr>
        <w:pStyle w:val="57"/>
        <w:ind w:firstLine="420"/>
        <w:jc w:val="center"/>
      </w:pPr>
    </w:p>
    <w:p>
      <w:pPr>
        <w:pStyle w:val="84"/>
        <w:spacing w:before="120" w:after="120"/>
      </w:pPr>
      <w:r>
        <w:rPr>
          <w:rFonts w:hint="eastAsia"/>
        </w:rPr>
        <w:t>地理标志农产品八步三华李保护范围图</w:t>
      </w:r>
    </w:p>
    <w:bookmarkEnd w:id="40"/>
    <w:p>
      <w:pPr>
        <w:pStyle w:val="57"/>
        <w:ind w:firstLine="0" w:firstLineChars="0"/>
        <w:jc w:val="center"/>
      </w:pPr>
      <w:bookmarkStart w:id="41" w:name="BookMark8"/>
      <w:r>
        <w:drawing>
          <wp:inline distT="0" distB="0" distL="0" distR="0">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7" cstate="print"/>
                    <a:stretch>
                      <a:fillRect/>
                    </a:stretch>
                  </pic:blipFill>
                  <pic:spPr>
                    <a:xfrm>
                      <a:off x="0" y="0"/>
                      <a:ext cx="1485900" cy="317500"/>
                    </a:xfrm>
                    <a:prstGeom prst="rect">
                      <a:avLst/>
                    </a:prstGeom>
                  </pic:spPr>
                </pic:pic>
              </a:graphicData>
            </a:graphic>
          </wp:inline>
        </w:drawing>
      </w:r>
      <w:bookmarkEnd w:id="41"/>
    </w:p>
    <w:sectPr>
      <w:pgSz w:w="11906" w:h="16838"/>
      <w:pgMar w:top="567"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宋体"/>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Cambria Math">
    <w:panose1 w:val="02040503050406030204"/>
    <w:charset w:val="00"/>
    <w:family w:val="roman"/>
    <w:pitch w:val="default"/>
    <w:sig w:usb0="A00002EF" w:usb1="420020EB" w:usb2="00000000" w:usb3="00000000" w:csb0="2000009F" w:csb1="00000000"/>
  </w:font>
  <w:font w:name="微软雅黑">
    <w:panose1 w:val="020B0503020204020204"/>
    <w:charset w:val="86"/>
    <w:family w:val="swiss"/>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pStyle w:val="237"/>
      <w:suff w:val="nothing"/>
      <w:lvlText w:val="%1.%2　"/>
      <w:lvlJc w:val="left"/>
      <w:pPr>
        <w:ind w:left="1588" w:firstLine="0"/>
      </w:pPr>
    </w:lvl>
    <w:lvl w:ilvl="2" w:tentative="0">
      <w:start w:val="1"/>
      <w:numFmt w:val="decimal"/>
      <w:pStyle w:val="236"/>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709"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attachedTemplate r:id="rId1"/>
  <w:documentProtection w:edit="forms" w:enforcement="1" w:cryptProviderType="rsaFull" w:cryptAlgorithmClass="hash" w:cryptAlgorithmType="typeAny" w:cryptAlgorithmSid="4" w:cryptSpinCount="100000" w:hash="BjYhM2MsOXIx1/M6Qyti/feZxMk=" w:salt="ENfnBtNnIYQPYH+3kwM8V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C2D5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AA9"/>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DD0"/>
    <w:rsid w:val="0006679E"/>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392"/>
    <w:rsid w:val="000D4B9C"/>
    <w:rsid w:val="000D4EB6"/>
    <w:rsid w:val="000D753B"/>
    <w:rsid w:val="000E4C9E"/>
    <w:rsid w:val="000E6FD7"/>
    <w:rsid w:val="000F06E1"/>
    <w:rsid w:val="000F0E3C"/>
    <w:rsid w:val="000F19D5"/>
    <w:rsid w:val="000F4050"/>
    <w:rsid w:val="000F4AEA"/>
    <w:rsid w:val="000F67E9"/>
    <w:rsid w:val="000F75FE"/>
    <w:rsid w:val="00104926"/>
    <w:rsid w:val="00113B1E"/>
    <w:rsid w:val="0011711C"/>
    <w:rsid w:val="00124E4F"/>
    <w:rsid w:val="001260B7"/>
    <w:rsid w:val="001265CB"/>
    <w:rsid w:val="001321C6"/>
    <w:rsid w:val="001325AA"/>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1CC"/>
    <w:rsid w:val="00187A0B"/>
    <w:rsid w:val="00190087"/>
    <w:rsid w:val="001913C4"/>
    <w:rsid w:val="00191F1D"/>
    <w:rsid w:val="0019348F"/>
    <w:rsid w:val="00193A07"/>
    <w:rsid w:val="00194C95"/>
    <w:rsid w:val="00195C34"/>
    <w:rsid w:val="00196EF5"/>
    <w:rsid w:val="001A1A53"/>
    <w:rsid w:val="001A234A"/>
    <w:rsid w:val="001A4CF3"/>
    <w:rsid w:val="001A6696"/>
    <w:rsid w:val="001B06E8"/>
    <w:rsid w:val="001B71D0"/>
    <w:rsid w:val="001B71EE"/>
    <w:rsid w:val="001C04A8"/>
    <w:rsid w:val="001C0830"/>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3B9"/>
    <w:rsid w:val="001E3CC4"/>
    <w:rsid w:val="001E4882"/>
    <w:rsid w:val="001E67DB"/>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3AEF"/>
    <w:rsid w:val="002142EA"/>
    <w:rsid w:val="00215ADD"/>
    <w:rsid w:val="002204BB"/>
    <w:rsid w:val="00221B79"/>
    <w:rsid w:val="00221C6B"/>
    <w:rsid w:val="00224C34"/>
    <w:rsid w:val="002253A1"/>
    <w:rsid w:val="00225CF8"/>
    <w:rsid w:val="0022794E"/>
    <w:rsid w:val="00232174"/>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9CD"/>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BA0"/>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4421"/>
    <w:rsid w:val="002F5EB9"/>
    <w:rsid w:val="002F7AF6"/>
    <w:rsid w:val="00300E63"/>
    <w:rsid w:val="00302F5F"/>
    <w:rsid w:val="003036E6"/>
    <w:rsid w:val="0030441D"/>
    <w:rsid w:val="00306063"/>
    <w:rsid w:val="00313B85"/>
    <w:rsid w:val="0031780A"/>
    <w:rsid w:val="00317988"/>
    <w:rsid w:val="003221B4"/>
    <w:rsid w:val="0032258D"/>
    <w:rsid w:val="00322E62"/>
    <w:rsid w:val="00324D13"/>
    <w:rsid w:val="00324EDD"/>
    <w:rsid w:val="003331E4"/>
    <w:rsid w:val="00336C64"/>
    <w:rsid w:val="00337162"/>
    <w:rsid w:val="0034194F"/>
    <w:rsid w:val="00344605"/>
    <w:rsid w:val="003474AA"/>
    <w:rsid w:val="00350D1D"/>
    <w:rsid w:val="0035256B"/>
    <w:rsid w:val="00352C83"/>
    <w:rsid w:val="00352F1A"/>
    <w:rsid w:val="0036107C"/>
    <w:rsid w:val="003615D2"/>
    <w:rsid w:val="0036429C"/>
    <w:rsid w:val="00364A53"/>
    <w:rsid w:val="003654CB"/>
    <w:rsid w:val="00365AA9"/>
    <w:rsid w:val="00365F86"/>
    <w:rsid w:val="00365F87"/>
    <w:rsid w:val="00366E89"/>
    <w:rsid w:val="003705F4"/>
    <w:rsid w:val="00370D58"/>
    <w:rsid w:val="00370F86"/>
    <w:rsid w:val="00371316"/>
    <w:rsid w:val="00376713"/>
    <w:rsid w:val="00381815"/>
    <w:rsid w:val="003819AF"/>
    <w:rsid w:val="003820E9"/>
    <w:rsid w:val="00382DE7"/>
    <w:rsid w:val="00384FFC"/>
    <w:rsid w:val="003872FC"/>
    <w:rsid w:val="00387ADC"/>
    <w:rsid w:val="00390020"/>
    <w:rsid w:val="003903D6"/>
    <w:rsid w:val="00390EE6"/>
    <w:rsid w:val="00391157"/>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5A22"/>
    <w:rsid w:val="003D6D61"/>
    <w:rsid w:val="003E091D"/>
    <w:rsid w:val="003E1C53"/>
    <w:rsid w:val="003E2A69"/>
    <w:rsid w:val="003E2D49"/>
    <w:rsid w:val="003E2FD4"/>
    <w:rsid w:val="003E49F6"/>
    <w:rsid w:val="003E4A8F"/>
    <w:rsid w:val="003E660F"/>
    <w:rsid w:val="003F0841"/>
    <w:rsid w:val="003F23D3"/>
    <w:rsid w:val="003F3F08"/>
    <w:rsid w:val="003F49F1"/>
    <w:rsid w:val="003F6272"/>
    <w:rsid w:val="00400E72"/>
    <w:rsid w:val="00401400"/>
    <w:rsid w:val="00404869"/>
    <w:rsid w:val="00405884"/>
    <w:rsid w:val="00407D39"/>
    <w:rsid w:val="00414504"/>
    <w:rsid w:val="0041477A"/>
    <w:rsid w:val="004167A3"/>
    <w:rsid w:val="00432DAA"/>
    <w:rsid w:val="00434305"/>
    <w:rsid w:val="00435DF7"/>
    <w:rsid w:val="0044083F"/>
    <w:rsid w:val="00441AE7"/>
    <w:rsid w:val="00443B11"/>
    <w:rsid w:val="00445574"/>
    <w:rsid w:val="004467FB"/>
    <w:rsid w:val="00452D6B"/>
    <w:rsid w:val="00454484"/>
    <w:rsid w:val="0045517B"/>
    <w:rsid w:val="00457045"/>
    <w:rsid w:val="00463B77"/>
    <w:rsid w:val="00463C7B"/>
    <w:rsid w:val="004644A6"/>
    <w:rsid w:val="004659BD"/>
    <w:rsid w:val="00470775"/>
    <w:rsid w:val="004746B1"/>
    <w:rsid w:val="0047583F"/>
    <w:rsid w:val="00475DE8"/>
    <w:rsid w:val="00481B91"/>
    <w:rsid w:val="00481C44"/>
    <w:rsid w:val="004826ED"/>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14FA"/>
    <w:rsid w:val="00502C16"/>
    <w:rsid w:val="0050363E"/>
    <w:rsid w:val="005039BC"/>
    <w:rsid w:val="005043BB"/>
    <w:rsid w:val="00504A3D"/>
    <w:rsid w:val="00504AEB"/>
    <w:rsid w:val="00505767"/>
    <w:rsid w:val="005073F0"/>
    <w:rsid w:val="00510A7B"/>
    <w:rsid w:val="00512F6E"/>
    <w:rsid w:val="00513038"/>
    <w:rsid w:val="00514174"/>
    <w:rsid w:val="00516088"/>
    <w:rsid w:val="00516B0B"/>
    <w:rsid w:val="005220EC"/>
    <w:rsid w:val="00523F95"/>
    <w:rsid w:val="00524D65"/>
    <w:rsid w:val="00525B16"/>
    <w:rsid w:val="00532323"/>
    <w:rsid w:val="00533D04"/>
    <w:rsid w:val="00534804"/>
    <w:rsid w:val="00534BDF"/>
    <w:rsid w:val="005354EA"/>
    <w:rsid w:val="0053585F"/>
    <w:rsid w:val="00535EC4"/>
    <w:rsid w:val="00535ED9"/>
    <w:rsid w:val="0053620D"/>
    <w:rsid w:val="0053692B"/>
    <w:rsid w:val="00541853"/>
    <w:rsid w:val="00543688"/>
    <w:rsid w:val="00543BDA"/>
    <w:rsid w:val="005441CC"/>
    <w:rsid w:val="005479DA"/>
    <w:rsid w:val="00547BCC"/>
    <w:rsid w:val="0055013B"/>
    <w:rsid w:val="00551F6F"/>
    <w:rsid w:val="00555044"/>
    <w:rsid w:val="005561AD"/>
    <w:rsid w:val="00556D27"/>
    <w:rsid w:val="00561475"/>
    <w:rsid w:val="0056210B"/>
    <w:rsid w:val="00562308"/>
    <w:rsid w:val="0056487B"/>
    <w:rsid w:val="00564FB9"/>
    <w:rsid w:val="00573D9E"/>
    <w:rsid w:val="00576480"/>
    <w:rsid w:val="00577D1C"/>
    <w:rsid w:val="005801E3"/>
    <w:rsid w:val="00581802"/>
    <w:rsid w:val="005836A8"/>
    <w:rsid w:val="0058409C"/>
    <w:rsid w:val="00584262"/>
    <w:rsid w:val="00586630"/>
    <w:rsid w:val="00587ADD"/>
    <w:rsid w:val="0059049B"/>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757B"/>
    <w:rsid w:val="006015CE"/>
    <w:rsid w:val="00604784"/>
    <w:rsid w:val="00606419"/>
    <w:rsid w:val="00607D29"/>
    <w:rsid w:val="00611F4A"/>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5A1F"/>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4D4"/>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171D"/>
    <w:rsid w:val="006F03A8"/>
    <w:rsid w:val="006F2ACA"/>
    <w:rsid w:val="006F2ADC"/>
    <w:rsid w:val="006F2BFE"/>
    <w:rsid w:val="006F31E9"/>
    <w:rsid w:val="006F6284"/>
    <w:rsid w:val="007002C5"/>
    <w:rsid w:val="00704387"/>
    <w:rsid w:val="00707669"/>
    <w:rsid w:val="00711CBA"/>
    <w:rsid w:val="00711FB5"/>
    <w:rsid w:val="00712A01"/>
    <w:rsid w:val="00714F58"/>
    <w:rsid w:val="00720876"/>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A2C"/>
    <w:rsid w:val="00746800"/>
    <w:rsid w:val="007501A8"/>
    <w:rsid w:val="00750D61"/>
    <w:rsid w:val="00750EE1"/>
    <w:rsid w:val="00752B4D"/>
    <w:rsid w:val="00755402"/>
    <w:rsid w:val="0075667C"/>
    <w:rsid w:val="00756B26"/>
    <w:rsid w:val="00756EDF"/>
    <w:rsid w:val="007600E3"/>
    <w:rsid w:val="0076584F"/>
    <w:rsid w:val="00765C43"/>
    <w:rsid w:val="00765EFB"/>
    <w:rsid w:val="007665B7"/>
    <w:rsid w:val="007671CA"/>
    <w:rsid w:val="00767C61"/>
    <w:rsid w:val="0077008A"/>
    <w:rsid w:val="00773C1F"/>
    <w:rsid w:val="00774DA4"/>
    <w:rsid w:val="00776599"/>
    <w:rsid w:val="0078114B"/>
    <w:rsid w:val="00781DD2"/>
    <w:rsid w:val="00783ECF"/>
    <w:rsid w:val="0078413A"/>
    <w:rsid w:val="007959E8"/>
    <w:rsid w:val="00795E9C"/>
    <w:rsid w:val="00796060"/>
    <w:rsid w:val="007A0521"/>
    <w:rsid w:val="007A1641"/>
    <w:rsid w:val="007A2E12"/>
    <w:rsid w:val="007A3475"/>
    <w:rsid w:val="007A41C8"/>
    <w:rsid w:val="007A54CE"/>
    <w:rsid w:val="007A6FD9"/>
    <w:rsid w:val="007A7FFA"/>
    <w:rsid w:val="007B04EB"/>
    <w:rsid w:val="007B0D4F"/>
    <w:rsid w:val="007B3E36"/>
    <w:rsid w:val="007B5A3D"/>
    <w:rsid w:val="007B5B95"/>
    <w:rsid w:val="007B6032"/>
    <w:rsid w:val="007B68EA"/>
    <w:rsid w:val="007B7453"/>
    <w:rsid w:val="007C2D89"/>
    <w:rsid w:val="007C4593"/>
    <w:rsid w:val="007C5309"/>
    <w:rsid w:val="007C6069"/>
    <w:rsid w:val="007D06C4"/>
    <w:rsid w:val="007D1352"/>
    <w:rsid w:val="007D1CA8"/>
    <w:rsid w:val="007D2508"/>
    <w:rsid w:val="007D346A"/>
    <w:rsid w:val="007D6518"/>
    <w:rsid w:val="007D76BD"/>
    <w:rsid w:val="007E0BF1"/>
    <w:rsid w:val="007E7F19"/>
    <w:rsid w:val="007F0ED8"/>
    <w:rsid w:val="007F0F63"/>
    <w:rsid w:val="007F6706"/>
    <w:rsid w:val="007F75CE"/>
    <w:rsid w:val="008013A4"/>
    <w:rsid w:val="008027CE"/>
    <w:rsid w:val="00802F42"/>
    <w:rsid w:val="00803448"/>
    <w:rsid w:val="00804383"/>
    <w:rsid w:val="00804BB7"/>
    <w:rsid w:val="00804D41"/>
    <w:rsid w:val="00810257"/>
    <w:rsid w:val="008104F5"/>
    <w:rsid w:val="00811072"/>
    <w:rsid w:val="00811369"/>
    <w:rsid w:val="00813C6F"/>
    <w:rsid w:val="00815419"/>
    <w:rsid w:val="008163C8"/>
    <w:rsid w:val="008164A1"/>
    <w:rsid w:val="00817325"/>
    <w:rsid w:val="00817A47"/>
    <w:rsid w:val="008209E6"/>
    <w:rsid w:val="00823303"/>
    <w:rsid w:val="008233B2"/>
    <w:rsid w:val="00823A9F"/>
    <w:rsid w:val="00823C85"/>
    <w:rsid w:val="00825138"/>
    <w:rsid w:val="008269DD"/>
    <w:rsid w:val="00830621"/>
    <w:rsid w:val="00831FBE"/>
    <w:rsid w:val="0083348C"/>
    <w:rsid w:val="008373D3"/>
    <w:rsid w:val="00840617"/>
    <w:rsid w:val="00840F84"/>
    <w:rsid w:val="00842A47"/>
    <w:rsid w:val="00843C13"/>
    <w:rsid w:val="008454F8"/>
    <w:rsid w:val="0085173A"/>
    <w:rsid w:val="008573E9"/>
    <w:rsid w:val="008603CE"/>
    <w:rsid w:val="008614CB"/>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5A1C"/>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42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2762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3F9"/>
    <w:rsid w:val="00993889"/>
    <w:rsid w:val="0099551B"/>
    <w:rsid w:val="009968CA"/>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15D"/>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6D42"/>
    <w:rsid w:val="00A54888"/>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2571"/>
    <w:rsid w:val="00AB6309"/>
    <w:rsid w:val="00AB6C5F"/>
    <w:rsid w:val="00AB7129"/>
    <w:rsid w:val="00AB74CD"/>
    <w:rsid w:val="00AC27A6"/>
    <w:rsid w:val="00AC2D59"/>
    <w:rsid w:val="00AC30F7"/>
    <w:rsid w:val="00AC3A5A"/>
    <w:rsid w:val="00AC4D95"/>
    <w:rsid w:val="00AC597F"/>
    <w:rsid w:val="00AC5DF4"/>
    <w:rsid w:val="00AD0AEF"/>
    <w:rsid w:val="00AD11B7"/>
    <w:rsid w:val="00AD1A94"/>
    <w:rsid w:val="00AD1C05"/>
    <w:rsid w:val="00AD4126"/>
    <w:rsid w:val="00AD421C"/>
    <w:rsid w:val="00AD44FA"/>
    <w:rsid w:val="00AD5E6D"/>
    <w:rsid w:val="00AE070A"/>
    <w:rsid w:val="00AE101C"/>
    <w:rsid w:val="00AE2A69"/>
    <w:rsid w:val="00AE37E5"/>
    <w:rsid w:val="00AE5EB4"/>
    <w:rsid w:val="00AE6876"/>
    <w:rsid w:val="00AF0C18"/>
    <w:rsid w:val="00AF47C5"/>
    <w:rsid w:val="00AF5398"/>
    <w:rsid w:val="00B021E7"/>
    <w:rsid w:val="00B0343D"/>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1B5"/>
    <w:rsid w:val="00B50E50"/>
    <w:rsid w:val="00B52120"/>
    <w:rsid w:val="00B53BA1"/>
    <w:rsid w:val="00B54ABC"/>
    <w:rsid w:val="00B56FBE"/>
    <w:rsid w:val="00B60ACF"/>
    <w:rsid w:val="00B62B58"/>
    <w:rsid w:val="00B65149"/>
    <w:rsid w:val="00B66567"/>
    <w:rsid w:val="00B66F52"/>
    <w:rsid w:val="00B66FE5"/>
    <w:rsid w:val="00B72880"/>
    <w:rsid w:val="00B74B97"/>
    <w:rsid w:val="00B758BF"/>
    <w:rsid w:val="00B7593B"/>
    <w:rsid w:val="00B77EC8"/>
    <w:rsid w:val="00B827A6"/>
    <w:rsid w:val="00B831CE"/>
    <w:rsid w:val="00B84E4D"/>
    <w:rsid w:val="00B86677"/>
    <w:rsid w:val="00B87131"/>
    <w:rsid w:val="00B91BFB"/>
    <w:rsid w:val="00B939B1"/>
    <w:rsid w:val="00B96D40"/>
    <w:rsid w:val="00B97386"/>
    <w:rsid w:val="00BA263B"/>
    <w:rsid w:val="00BA2B19"/>
    <w:rsid w:val="00BA42B2"/>
    <w:rsid w:val="00BA58D4"/>
    <w:rsid w:val="00BA5B9E"/>
    <w:rsid w:val="00BA7C9A"/>
    <w:rsid w:val="00BB5F8F"/>
    <w:rsid w:val="00BB636D"/>
    <w:rsid w:val="00BB657A"/>
    <w:rsid w:val="00BC1A4E"/>
    <w:rsid w:val="00BC36A6"/>
    <w:rsid w:val="00BC5DC7"/>
    <w:rsid w:val="00BC6B8B"/>
    <w:rsid w:val="00BC73D8"/>
    <w:rsid w:val="00BD52D7"/>
    <w:rsid w:val="00BD5AD2"/>
    <w:rsid w:val="00BE1F07"/>
    <w:rsid w:val="00BE22F3"/>
    <w:rsid w:val="00BE5B52"/>
    <w:rsid w:val="00BE7B8D"/>
    <w:rsid w:val="00BF0993"/>
    <w:rsid w:val="00BF10A9"/>
    <w:rsid w:val="00BF1703"/>
    <w:rsid w:val="00BF231C"/>
    <w:rsid w:val="00BF51E5"/>
    <w:rsid w:val="00BF74A6"/>
    <w:rsid w:val="00C013AD"/>
    <w:rsid w:val="00C04904"/>
    <w:rsid w:val="00C04EC4"/>
    <w:rsid w:val="00C056B3"/>
    <w:rsid w:val="00C103E5"/>
    <w:rsid w:val="00C13319"/>
    <w:rsid w:val="00C13EE9"/>
    <w:rsid w:val="00C21540"/>
    <w:rsid w:val="00C21906"/>
    <w:rsid w:val="00C21BFA"/>
    <w:rsid w:val="00C24C8D"/>
    <w:rsid w:val="00C25FE2"/>
    <w:rsid w:val="00C26901"/>
    <w:rsid w:val="00C26B53"/>
    <w:rsid w:val="00C26FA5"/>
    <w:rsid w:val="00C279B2"/>
    <w:rsid w:val="00C33E50"/>
    <w:rsid w:val="00C34C20"/>
    <w:rsid w:val="00C35A3E"/>
    <w:rsid w:val="00C42130"/>
    <w:rsid w:val="00C423A4"/>
    <w:rsid w:val="00C423E3"/>
    <w:rsid w:val="00C44BF5"/>
    <w:rsid w:val="00C461F2"/>
    <w:rsid w:val="00C521D6"/>
    <w:rsid w:val="00C536F5"/>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14A0"/>
    <w:rsid w:val="00C92D03"/>
    <w:rsid w:val="00C9319C"/>
    <w:rsid w:val="00C9435D"/>
    <w:rsid w:val="00C94DF2"/>
    <w:rsid w:val="00C96741"/>
    <w:rsid w:val="00CA1370"/>
    <w:rsid w:val="00CA1844"/>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B11"/>
    <w:rsid w:val="00CE0C4F"/>
    <w:rsid w:val="00CE30EA"/>
    <w:rsid w:val="00CE7ECF"/>
    <w:rsid w:val="00CF048A"/>
    <w:rsid w:val="00CF155A"/>
    <w:rsid w:val="00CF2947"/>
    <w:rsid w:val="00CF4B62"/>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442"/>
    <w:rsid w:val="00D21E81"/>
    <w:rsid w:val="00D223DE"/>
    <w:rsid w:val="00D25E37"/>
    <w:rsid w:val="00D26502"/>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42DB"/>
    <w:rsid w:val="00D55C58"/>
    <w:rsid w:val="00D5794B"/>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569"/>
    <w:rsid w:val="00DB38EE"/>
    <w:rsid w:val="00DB498B"/>
    <w:rsid w:val="00DB5F1E"/>
    <w:rsid w:val="00DB66CA"/>
    <w:rsid w:val="00DB6BCA"/>
    <w:rsid w:val="00DB6F54"/>
    <w:rsid w:val="00DB73F7"/>
    <w:rsid w:val="00DC0321"/>
    <w:rsid w:val="00DC3067"/>
    <w:rsid w:val="00DC370B"/>
    <w:rsid w:val="00DC5B90"/>
    <w:rsid w:val="00DD00FF"/>
    <w:rsid w:val="00DD0619"/>
    <w:rsid w:val="00DD07FB"/>
    <w:rsid w:val="00DD25C6"/>
    <w:rsid w:val="00DD49FD"/>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7CE"/>
    <w:rsid w:val="00E11A85"/>
    <w:rsid w:val="00E12495"/>
    <w:rsid w:val="00E15CCD"/>
    <w:rsid w:val="00E202EF"/>
    <w:rsid w:val="00E210B5"/>
    <w:rsid w:val="00E22878"/>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EED"/>
    <w:rsid w:val="00E5408A"/>
    <w:rsid w:val="00E56800"/>
    <w:rsid w:val="00E603DD"/>
    <w:rsid w:val="00E60C63"/>
    <w:rsid w:val="00E61E9C"/>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1FBC"/>
    <w:rsid w:val="00EB2086"/>
    <w:rsid w:val="00EB31ED"/>
    <w:rsid w:val="00EB5EDF"/>
    <w:rsid w:val="00EB60FE"/>
    <w:rsid w:val="00EB70BB"/>
    <w:rsid w:val="00EB738A"/>
    <w:rsid w:val="00EB74DB"/>
    <w:rsid w:val="00EC5359"/>
    <w:rsid w:val="00EC562A"/>
    <w:rsid w:val="00ED067A"/>
    <w:rsid w:val="00ED2B50"/>
    <w:rsid w:val="00ED6A0A"/>
    <w:rsid w:val="00ED6F11"/>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2E90"/>
    <w:rsid w:val="00F25BB6"/>
    <w:rsid w:val="00F26B7E"/>
    <w:rsid w:val="00F27A3B"/>
    <w:rsid w:val="00F33817"/>
    <w:rsid w:val="00F34A28"/>
    <w:rsid w:val="00F420D5"/>
    <w:rsid w:val="00F43EC7"/>
    <w:rsid w:val="00F451EA"/>
    <w:rsid w:val="00F45447"/>
    <w:rsid w:val="00F456C6"/>
    <w:rsid w:val="00F4577B"/>
    <w:rsid w:val="00F46496"/>
    <w:rsid w:val="00F474D0"/>
    <w:rsid w:val="00F50179"/>
    <w:rsid w:val="00F515EE"/>
    <w:rsid w:val="00F56511"/>
    <w:rsid w:val="00F6194E"/>
    <w:rsid w:val="00F623AC"/>
    <w:rsid w:val="00F6412A"/>
    <w:rsid w:val="00F64E77"/>
    <w:rsid w:val="00F65893"/>
    <w:rsid w:val="00F66A4A"/>
    <w:rsid w:val="00F71E22"/>
    <w:rsid w:val="00F72142"/>
    <w:rsid w:val="00F72AE7"/>
    <w:rsid w:val="00F833BA"/>
    <w:rsid w:val="00F83A46"/>
    <w:rsid w:val="00F84FD0"/>
    <w:rsid w:val="00F859A8"/>
    <w:rsid w:val="00F86D87"/>
    <w:rsid w:val="00F9108B"/>
    <w:rsid w:val="00F91349"/>
    <w:rsid w:val="00F93A8A"/>
    <w:rsid w:val="00F94CE6"/>
    <w:rsid w:val="00F95248"/>
    <w:rsid w:val="00F956A9"/>
    <w:rsid w:val="00F963ED"/>
    <w:rsid w:val="00F966CF"/>
    <w:rsid w:val="00F96CAE"/>
    <w:rsid w:val="00F97C99"/>
    <w:rsid w:val="00FA662D"/>
    <w:rsid w:val="00FA73B1"/>
    <w:rsid w:val="00FA7402"/>
    <w:rsid w:val="00FB0CB9"/>
    <w:rsid w:val="00FB231D"/>
    <w:rsid w:val="00FB293E"/>
    <w:rsid w:val="00FB45F1"/>
    <w:rsid w:val="00FB4A72"/>
    <w:rsid w:val="00FB54E8"/>
    <w:rsid w:val="00FB5FD8"/>
    <w:rsid w:val="00FB7054"/>
    <w:rsid w:val="00FC17B7"/>
    <w:rsid w:val="00FC2CB7"/>
    <w:rsid w:val="00FC4090"/>
    <w:rsid w:val="00FC55B4"/>
    <w:rsid w:val="00FD00E6"/>
    <w:rsid w:val="00FD09A1"/>
    <w:rsid w:val="00FD2A7C"/>
    <w:rsid w:val="00FD59EB"/>
    <w:rsid w:val="00FD7299"/>
    <w:rsid w:val="00FE1037"/>
    <w:rsid w:val="00FE1FBE"/>
    <w:rsid w:val="00FE3901"/>
    <w:rsid w:val="00FE39D3"/>
    <w:rsid w:val="00FE4BCE"/>
    <w:rsid w:val="00FE54AE"/>
    <w:rsid w:val="00FE576A"/>
    <w:rsid w:val="00FE7E79"/>
    <w:rsid w:val="00FF002C"/>
    <w:rsid w:val="00FF3E7D"/>
    <w:rsid w:val="00FF5B99"/>
    <w:rsid w:val="00FF730C"/>
    <w:rsid w:val="00FF73F4"/>
    <w:rsid w:val="00FF7582"/>
    <w:rsid w:val="00FF7CE4"/>
    <w:rsid w:val="00FF7E39"/>
    <w:rsid w:val="01981F89"/>
    <w:rsid w:val="1BB240C9"/>
    <w:rsid w:val="225B1223"/>
    <w:rsid w:val="44CC2DAB"/>
    <w:rsid w:val="58565918"/>
    <w:rsid w:val="64E074A3"/>
    <w:rsid w:val="67F023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1"/>
    <w:unhideWhenUsed/>
    <w:qFormat/>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rFonts w:ascii="Times New Roman" w:hAnsi="Times New Roman" w:eastAsia="宋体" w:cs="Times New Roman"/>
      <w:b/>
      <w:bCs/>
      <w:kern w:val="44"/>
      <w:sz w:val="44"/>
      <w:szCs w:val="44"/>
    </w:rPr>
  </w:style>
  <w:style w:type="character" w:customStyle="1" w:styleId="36">
    <w:name w:val="标题 2 Char"/>
    <w:link w:val="3"/>
    <w:qFormat/>
    <w:uiPriority w:val="0"/>
    <w:rPr>
      <w:rFonts w:ascii="Arial" w:hAnsi="Arial" w:eastAsia="黑体" w:cs="Times New Roman"/>
      <w:b/>
      <w:bCs/>
      <w:sz w:val="32"/>
      <w:szCs w:val="32"/>
    </w:rPr>
  </w:style>
  <w:style w:type="character" w:customStyle="1" w:styleId="37">
    <w:name w:val="标题 3 Char"/>
    <w:link w:val="4"/>
    <w:qFormat/>
    <w:uiPriority w:val="0"/>
    <w:rPr>
      <w:rFonts w:ascii="Times New Roman" w:hAnsi="Times New Roman" w:eastAsia="宋体" w:cs="Times New Roman"/>
      <w:b/>
      <w:bCs/>
      <w:sz w:val="32"/>
      <w:szCs w:val="32"/>
    </w:rPr>
  </w:style>
  <w:style w:type="character" w:customStyle="1" w:styleId="38">
    <w:name w:val="标题 4 Char"/>
    <w:link w:val="5"/>
    <w:qFormat/>
    <w:uiPriority w:val="0"/>
    <w:rPr>
      <w:rFonts w:ascii="Arial" w:hAnsi="Arial" w:eastAsia="黑体" w:cs="Times New Roman"/>
      <w:b/>
      <w:bCs/>
      <w:sz w:val="28"/>
      <w:szCs w:val="28"/>
    </w:rPr>
  </w:style>
  <w:style w:type="character" w:customStyle="1" w:styleId="39">
    <w:name w:val="标题 5 Char"/>
    <w:link w:val="6"/>
    <w:qFormat/>
    <w:uiPriority w:val="0"/>
    <w:rPr>
      <w:rFonts w:ascii="Times New Roman" w:hAnsi="Times New Roman" w:eastAsia="宋体" w:cs="Times New Roman"/>
      <w:b/>
      <w:bCs/>
      <w:sz w:val="28"/>
      <w:szCs w:val="28"/>
    </w:rPr>
  </w:style>
  <w:style w:type="character" w:customStyle="1" w:styleId="40">
    <w:name w:val="标题 6 Char"/>
    <w:link w:val="7"/>
    <w:qFormat/>
    <w:uiPriority w:val="0"/>
    <w:rPr>
      <w:rFonts w:ascii="Arial" w:hAnsi="Arial" w:eastAsia="黑体" w:cs="Times New Roman"/>
      <w:b/>
      <w:bCs/>
      <w:sz w:val="24"/>
      <w:szCs w:val="24"/>
    </w:rPr>
  </w:style>
  <w:style w:type="character" w:customStyle="1" w:styleId="41">
    <w:name w:val="标题 7 Char"/>
    <w:link w:val="8"/>
    <w:qFormat/>
    <w:uiPriority w:val="0"/>
    <w:rPr>
      <w:rFonts w:ascii="Times New Roman" w:hAnsi="Times New Roman" w:eastAsia="宋体" w:cs="Times New Roman"/>
      <w:b/>
      <w:bCs/>
      <w:sz w:val="24"/>
      <w:szCs w:val="24"/>
    </w:rPr>
  </w:style>
  <w:style w:type="character" w:customStyle="1" w:styleId="42">
    <w:name w:val="标题 8 Char"/>
    <w:link w:val="9"/>
    <w:qFormat/>
    <w:uiPriority w:val="0"/>
    <w:rPr>
      <w:rFonts w:ascii="Arial" w:hAnsi="Arial" w:eastAsia="黑体" w:cs="Times New Roman"/>
      <w:sz w:val="24"/>
      <w:szCs w:val="24"/>
    </w:rPr>
  </w:style>
  <w:style w:type="character" w:customStyle="1" w:styleId="43">
    <w:name w:val="标题 9 Char"/>
    <w:link w:val="10"/>
    <w:qFormat/>
    <w:uiPriority w:val="0"/>
    <w:rPr>
      <w:rFonts w:ascii="Arial" w:hAnsi="Arial" w:eastAsia="黑体" w:cs="Times New Roman"/>
      <w:szCs w:val="21"/>
    </w:rPr>
  </w:style>
  <w:style w:type="character" w:customStyle="1" w:styleId="44">
    <w:name w:val="页眉 Char"/>
    <w:link w:val="19"/>
    <w:qFormat/>
    <w:uiPriority w:val="99"/>
    <w:rPr>
      <w:rFonts w:ascii="Times New Roman" w:hAnsi="Times New Roman" w:eastAsia="宋体" w:cs="Times New Roman"/>
      <w:sz w:val="18"/>
      <w:szCs w:val="18"/>
    </w:rPr>
  </w:style>
  <w:style w:type="character" w:customStyle="1" w:styleId="45">
    <w:name w:val="页脚 Char"/>
    <w:link w:val="18"/>
    <w:qFormat/>
    <w:uiPriority w:val="99"/>
    <w:rPr>
      <w:rFonts w:ascii="宋体" w:hAnsi="Times New Roman" w:eastAsia="宋体" w:cs="Times New Roman"/>
      <w:sz w:val="18"/>
      <w:szCs w:val="18"/>
    </w:rPr>
  </w:style>
  <w:style w:type="character" w:customStyle="1" w:styleId="46">
    <w:name w:val="批注框文本 Char"/>
    <w:link w:val="17"/>
    <w:semiHidden/>
    <w:qFormat/>
    <w:uiPriority w:val="99"/>
    <w:rPr>
      <w:sz w:val="18"/>
      <w:szCs w:val="18"/>
    </w:rPr>
  </w:style>
  <w:style w:type="paragraph" w:customStyle="1" w:styleId="47">
    <w:name w:val="引用1"/>
    <w:basedOn w:val="1"/>
    <w:next w:val="1"/>
    <w:link w:val="48"/>
    <w:qFormat/>
    <w:uiPriority w:val="29"/>
    <w:rPr>
      <w:i/>
      <w:iCs/>
      <w:color w:val="000000"/>
    </w:rPr>
  </w:style>
  <w:style w:type="character" w:customStyle="1" w:styleId="48">
    <w:name w:val="引用 Char"/>
    <w:link w:val="47"/>
    <w:qFormat/>
    <w:uiPriority w:val="29"/>
    <w:rPr>
      <w:i/>
      <w:iCs/>
      <w:color w:val="000000"/>
    </w:rPr>
  </w:style>
  <w:style w:type="character" w:customStyle="1" w:styleId="49">
    <w:name w:val="标题 Char"/>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uiPriority w:val="0"/>
    <w:pPr>
      <w:numPr>
        <w:numId w:val="10"/>
      </w:numPr>
      <w:ind w:left="0" w:firstLine="200"/>
    </w:pPr>
  </w:style>
  <w:style w:type="paragraph" w:customStyle="1" w:styleId="95">
    <w:name w:val="标准文件_三级条标题"/>
    <w:basedOn w:val="66"/>
    <w:next w:val="57"/>
    <w:qFormat/>
    <w:uiPriority w:val="0"/>
    <w:pPr>
      <w:widowControl/>
      <w:numPr>
        <w:ilvl w:val="4"/>
      </w:numPr>
      <w:ind w:left="0"/>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qFormat/>
    <w:uiPriority w:val="0"/>
    <w:rPr>
      <w:rFonts w:ascii="宋体" w:hAnsi="Times New Roman" w:eastAsia="宋体" w:cs="Times New Roman"/>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uiPriority w:val="0"/>
    <w:pPr>
      <w:numPr>
        <w:ilvl w:val="5"/>
        <w:numId w:val="20"/>
      </w:numPr>
      <w:adjustRightInd/>
      <w:spacing w:line="240" w:lineRule="auto"/>
    </w:pPr>
    <w:rPr>
      <w:rFonts w:ascii="宋体" w:hAnsi="宋体"/>
      <w:szCs w:val="24"/>
    </w:rPr>
  </w:style>
  <w:style w:type="paragraph" w:customStyle="1" w:styleId="157">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uiPriority w:val="0"/>
    <w:pPr>
      <w:jc w:val="both"/>
    </w:pPr>
    <w:rPr>
      <w:rFonts w:ascii="宋体" w:hAnsi="宋体" w:eastAsia="宋体" w:cs="Times New Roman"/>
      <w:sz w:val="21"/>
      <w:lang w:val="en-US" w:eastAsia="zh-CN" w:bidi="ar-SA"/>
    </w:rPr>
  </w:style>
  <w:style w:type="paragraph" w:customStyle="1" w:styleId="159">
    <w:name w:val="五级无标题条"/>
    <w:basedOn w:val="1"/>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customStyle="1" w:styleId="187">
    <w:name w:val="占位符文本1"/>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文档结构图 Char"/>
    <w:basedOn w:val="29"/>
    <w:link w:val="13"/>
    <w:semiHidden/>
    <w:uiPriority w:val="99"/>
    <w:rPr>
      <w:rFonts w:ascii="宋体"/>
      <w:kern w:val="2"/>
      <w:sz w:val="18"/>
      <w:szCs w:val="18"/>
    </w:rPr>
  </w:style>
  <w:style w:type="character" w:customStyle="1" w:styleId="232">
    <w:name w:val="段 Char"/>
    <w:basedOn w:val="29"/>
    <w:link w:val="233"/>
    <w:qFormat/>
    <w:uiPriority w:val="0"/>
    <w:rPr>
      <w:rFonts w:ascii="宋体"/>
      <w:sz w:val="21"/>
    </w:rPr>
  </w:style>
  <w:style w:type="paragraph" w:customStyle="1" w:styleId="233">
    <w:name w:val="段"/>
    <w:link w:val="232"/>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4">
    <w:name w:val="附录标题"/>
    <w:basedOn w:val="233"/>
    <w:next w:val="233"/>
    <w:uiPriority w:val="0"/>
    <w:pPr>
      <w:ind w:firstLine="0" w:firstLineChars="0"/>
      <w:jc w:val="center"/>
    </w:pPr>
    <w:rPr>
      <w:rFonts w:ascii="黑体" w:eastAsia="黑体"/>
    </w:rPr>
  </w:style>
  <w:style w:type="paragraph" w:customStyle="1" w:styleId="235">
    <w:name w:val="正文表标题"/>
    <w:next w:val="233"/>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36">
    <w:name w:val="二级条标题"/>
    <w:basedOn w:val="237"/>
    <w:next w:val="233"/>
    <w:qFormat/>
    <w:uiPriority w:val="0"/>
    <w:pPr>
      <w:numPr>
        <w:ilvl w:val="2"/>
      </w:numPr>
      <w:spacing w:before="50" w:after="50"/>
      <w:outlineLvl w:val="3"/>
    </w:pPr>
  </w:style>
  <w:style w:type="paragraph" w:customStyle="1" w:styleId="237">
    <w:name w:val="一级条标题"/>
    <w:next w:val="233"/>
    <w:qFormat/>
    <w:uiPriority w:val="0"/>
    <w:pPr>
      <w:numPr>
        <w:ilvl w:val="1"/>
        <w:numId w:val="10"/>
      </w:numPr>
      <w:spacing w:beforeLines="50" w:afterLines="50"/>
      <w:ind w:left="568"/>
      <w:outlineLvl w:val="2"/>
    </w:pPr>
    <w:rPr>
      <w:rFonts w:ascii="黑体" w:hAnsi="Times New Roman" w:eastAsia="黑体" w:cs="Times New Roman"/>
      <w:sz w:val="21"/>
      <w:szCs w:val="21"/>
      <w:lang w:val="en-US" w:eastAsia="zh-CN" w:bidi="ar-SA"/>
    </w:rPr>
  </w:style>
  <w:style w:type="paragraph" w:customStyle="1" w:styleId="238">
    <w:name w:val="正文公式编号制表符"/>
    <w:basedOn w:val="233"/>
    <w:next w:val="233"/>
    <w:qFormat/>
    <w:uiPriority w:val="0"/>
    <w:pPr>
      <w:ind w:firstLine="0" w:firstLineChars="0"/>
    </w:pPr>
    <w:rPr>
      <w:rFonts w:hAnsi="Times New Roman"/>
    </w:rPr>
  </w:style>
  <w:style w:type="paragraph" w:customStyle="1" w:styleId="239">
    <w:name w:val="章标题"/>
    <w:next w:val="233"/>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40">
    <w:name w:val="二级无"/>
    <w:basedOn w:val="236"/>
    <w:qFormat/>
    <w:uiPriority w:val="0"/>
    <w:pPr>
      <w:spacing w:beforeLines="0" w:afterLines="0"/>
    </w:pPr>
    <w:rPr>
      <w:rFonts w:ascii="宋体" w:eastAsia="宋体"/>
    </w:rPr>
  </w:style>
  <w:style w:type="paragraph" w:customStyle="1" w:styleId="241">
    <w:name w:val="Table Paragraph"/>
    <w:basedOn w:val="1"/>
    <w:qFormat/>
    <w:uiPriority w:val="0"/>
    <w:pPr>
      <w:autoSpaceDE w:val="0"/>
      <w:autoSpaceDN w:val="0"/>
      <w:adjustRightInd/>
      <w:spacing w:before="38" w:after="100" w:afterAutospacing="1" w:line="240" w:lineRule="auto"/>
      <w:ind w:right="290"/>
      <w:jc w:val="center"/>
    </w:pPr>
    <w:rPr>
      <w:rFonts w:ascii="宋体" w:hAnsi="宋体" w:cs="宋体"/>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56EB21A36684F7BAD460FCB77182CA1"/>
        <w:style w:val=""/>
        <w:category>
          <w:name w:val="常规"/>
          <w:gallery w:val="placeholder"/>
        </w:category>
        <w:types>
          <w:type w:val="bbPlcHdr"/>
        </w:types>
        <w:behaviors>
          <w:behavior w:val="content"/>
        </w:behaviors>
        <w:description w:val=""/>
        <w:guid w:val="{39D230F2-8F06-410D-9BBB-92F4F88C0983}"/>
      </w:docPartPr>
      <w:docPartBody>
        <w:p>
          <w:pPr>
            <w:pStyle w:val="5"/>
          </w:pPr>
          <w:r>
            <w:rPr>
              <w:rStyle w:val="4"/>
              <w:rFonts w:hint="eastAsia"/>
            </w:rPr>
            <w:t>单击或点击此处输入文字。</w:t>
          </w:r>
        </w:p>
      </w:docPartBody>
    </w:docPart>
    <w:docPart>
      <w:docPartPr>
        <w:name w:val="9DC4FD221DDB4B64A925D2891B9C1E8D"/>
        <w:style w:val=""/>
        <w:category>
          <w:name w:val="常规"/>
          <w:gallery w:val="placeholder"/>
        </w:category>
        <w:types>
          <w:type w:val="bbPlcHdr"/>
        </w:types>
        <w:behaviors>
          <w:behavior w:val="content"/>
        </w:behaviors>
        <w:description w:val=""/>
        <w:guid w:val="{ECB06BBE-3338-4C7A-85F6-4394D3229AE9}"/>
      </w:docPartPr>
      <w:docPartBody>
        <w:p>
          <w:pPr>
            <w:pStyle w:val="6"/>
          </w:pPr>
          <w:r>
            <w:rPr>
              <w:rStyle w:val="4"/>
              <w:rFonts w:hint="eastAsia"/>
            </w:rPr>
            <w:t>选择一项。</w:t>
          </w:r>
        </w:p>
      </w:docPartBody>
    </w:docPart>
    <w:docPart>
      <w:docPartPr>
        <w:name w:val="C3C80662120C491A9B915E876EDB9FBC"/>
        <w:style w:val=""/>
        <w:category>
          <w:name w:val="常规"/>
          <w:gallery w:val="placeholder"/>
        </w:category>
        <w:types>
          <w:type w:val="bbPlcHdr"/>
        </w:types>
        <w:behaviors>
          <w:behavior w:val="content"/>
        </w:behaviors>
        <w:description w:val=""/>
        <w:guid w:val="{9B5428B2-784A-4E7A-9872-472B87C063D1}"/>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7F07"/>
    <w:rsid w:val="0006017C"/>
    <w:rsid w:val="000966F9"/>
    <w:rsid w:val="001844C5"/>
    <w:rsid w:val="0036212D"/>
    <w:rsid w:val="0043200F"/>
    <w:rsid w:val="005038E0"/>
    <w:rsid w:val="00633CB5"/>
    <w:rsid w:val="0074248F"/>
    <w:rsid w:val="007C747F"/>
    <w:rsid w:val="00813FC7"/>
    <w:rsid w:val="00836600"/>
    <w:rsid w:val="00A02849"/>
    <w:rsid w:val="00C74FBD"/>
    <w:rsid w:val="00FB7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4">
    <w:name w:val="占位符文本1"/>
    <w:basedOn w:val="2"/>
    <w:semiHidden/>
    <w:uiPriority w:val="99"/>
    <w:rPr>
      <w:color w:val="808080"/>
    </w:rPr>
  </w:style>
  <w:style w:type="paragraph" w:customStyle="1" w:styleId="5">
    <w:name w:val="356EB21A36684F7BAD460FCB77182CA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DC4FD221DDB4B64A925D2891B9C1E8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3C80662120C491A9B915E876EDB9FBC"/>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E51768-E83A-4D2D-8191-843C8AEAEF2A}">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Pages>
  <Words>560</Words>
  <Characters>3196</Characters>
  <Lines>26</Lines>
  <Paragraphs>7</Paragraphs>
  <TotalTime>5</TotalTime>
  <ScaleCrop>false</ScaleCrop>
  <LinksUpToDate>false</LinksUpToDate>
  <CharactersWithSpaces>3749</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2021-04-19T08:44:00Z</dcterms:created>
  <dc:creator>Administrator</dc:creator>
  <dc:description>&lt;config cover="true" show_menu="true" version="1.0.0" doctype="SDKXY"&gt;_x000d_
&lt;/config&gt;</dc:description>
  <cp:lastModifiedBy>誰念誰川</cp:lastModifiedBy>
  <cp:lastPrinted>2021-07-06T01:33:00Z</cp:lastPrinted>
  <dcterms:modified xsi:type="dcterms:W3CDTF">2021-08-09T10:57:14Z</dcterms:modified>
  <dc:title>团体标准</dc:title>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2052-11.1.0.10667</vt:lpwstr>
  </property>
  <property fmtid="{D5CDD505-2E9C-101B-9397-08002B2CF9AE}" pid="15" name="ICV">
    <vt:lpwstr>B903AEAA324E4DED9EBA83C0F99D04F5</vt:lpwstr>
  </property>
</Properties>
</file>